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F7E49" w:rsidRPr="006F7E49" w:rsidRDefault="006F7E49" w:rsidP="006F7E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E49">
        <w:rPr>
          <w:rFonts w:ascii="Times New Roman" w:hAnsi="Times New Roman" w:cs="Times New Roman"/>
          <w:b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НЕФТЕПРОДУКТОВ НА ТЕРРИТОРИИ ЕВРЕЙСКОЙ АВТОНОМНОЙ ОБЛАСТИ (с изменениями на: 13.11.2009)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ГУБЕРНАТОР ЕВРЕЙСКОЙ АВТОНОМНОЙ ОБЛАСТИ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от 27 мая 2003 года N 123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НЕФТЕПРОДУКТОВ НА ТЕРРИТОРИИ ЕВРЕЙСКОЙ АВТОНОМНОЙ ОБЛАСТИ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(в редакции постановления губернатора Еврейской автономной области от 13.11.2009 N 244)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В целях предупреждения и ликвидации разливов нефтепродуктов и защиты населения и окружающей среды от их вредного воздействия, во исполнение Постановления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(в ред. постановления губернатора Еврейской автономной области от 13.11.2009 N 244)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1. Утвердить прилагаемые требования к разработке планов по предупреждению и ликвидации аварийных разливов нефтепродуктов на территории Еврейской автономной области.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lastRenderedPageBreak/>
        <w:t>2. Предложить предприятиям и организациям, осуществляющим хранение и транспортировку нефтепродуктов, разработать в соответствии с утвержденными требованиями планы по предупреждению и ликвидации аварийных разливов нефтепродуктов.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6F7E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F7E49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вице-губернатора области Г.А.Антонова.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4. Опубликовать настоящее постановление в газете "</w:t>
      </w: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Биробиджанер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7E49">
        <w:rPr>
          <w:rFonts w:ascii="Times New Roman" w:hAnsi="Times New Roman" w:cs="Times New Roman"/>
          <w:sz w:val="24"/>
          <w:szCs w:val="24"/>
        </w:rPr>
        <w:t>штерн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".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5. Настоящее постановление вступает в силу через 10 дней после его официального опубликования.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Н.М.ВОЛКОВ</w:t>
      </w:r>
    </w:p>
    <w:p w:rsid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ТРЕБОВАНИЯ К РАЗРАБОТКЕ ПЛАНОВ ПО ПРЕДУПРЕЖДЕНИЮ И ЛИКВИДАЦИИ АВАРИЙНЫХ РАЗЛИВОВ НЕФТЕПРОДУКТОВ НА ТЕРРИТОРИИ ЕВРЕЙСКОЙ АВТОНОМНОЙ ОБЛАСТИ</w:t>
      </w:r>
    </w:p>
    <w:p w:rsidR="006F7E49" w:rsidRPr="006F7E49" w:rsidRDefault="006F7E49" w:rsidP="006F7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Утверждены</w:t>
      </w:r>
    </w:p>
    <w:p w:rsidR="006F7E49" w:rsidRP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6F7E49" w:rsidRP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губернатора области</w:t>
      </w:r>
    </w:p>
    <w:p w:rsidR="006F7E49" w:rsidRPr="006F7E49" w:rsidRDefault="006F7E49" w:rsidP="006F7E49">
      <w:pPr>
        <w:jc w:val="right"/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от 27.05.2003 N 123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(в редакции постановления губернатора Еврейской автономной области от 13.11.2009 N 244)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lastRenderedPageBreak/>
        <w:t>1. Настоящие требования определяют принципы формирования планов по предупреждению и ликвидации аварийных разливов нефтепродуктов на территории Еврейской автономной области (далее именуются планы), которые относятся к чрезвычайным ситуациям локального, местного и территориального значения, а также организации взаимодействия сил и средств, привлекаемых для их ликвидации.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2. Планы разрабатываются в соответствии с действующими нормативными правовыми актами с учетом максимально возможного объема разлившихся нефтепродуктов, который определяется для следующих объектов: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нефтеналивная баржа - 50 процентов ее общей грузоподъемности;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автоцистерна - 100 процентов объема;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железнодорожный состав - 50 процентов общего объема цистерн в железнодорожном составе;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стационарные объекты хранения нефтепродуктов - 100 процентов объема максимальной емкости одного объекта хранения.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3. В зависимости от объема и площади разлившихся нефтепродуктов на местности выделяются чрезвычайные ситуации следующих категорий: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локального значения - разлив от нижнего уровня разлива нефтепродуктов до 100 тонн нефтепродуктов на территории объекта;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местного значения - разлив от 100 до 500 тонн нефтепродуктов в пределах административной границы муниципального образования либо разлив до 100 тонн нефтепродуктов, выходящий за пределы территории объекта;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территориального значения - разлив от 500 до 1000 тонн нефтепродуктов в пределах административной границы Еврейской автономной области либо разлив от 100 до 500 тонн нефтепродуктов, выходящий за пределы административной границы муниципального образования (района).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4. Планом должны предусматриваться: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а) прогнозирование возможных разливов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б) количество сил и средств, достаточное для ликвидации чрезвычайных ситуаций, связанных с разливом нефтепродуктов (далее - силы и средства), соответствие имеющихся на объекте сил и средств задачам ликвидации и необходимость привлечения профессиональных аварийно-спасательных формирований;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в) организация взаимодействия сил и средств;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г) состав и дислокация сил и средств;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) организация управления, связи и оповещения;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е) 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ж) система взаимного обмена информацией между организациями - участниками ликвидации разлива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) порядок действий при получении сигнала о чрезвычайной ситуации;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и) географические, навигационно-гидрографические, гидрометеорологические и другие особенности района разлива нефтепродуктов, которые учитываются при организации и проведении операции по ликвидации разлива;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к) обеспечение безопасности населения и оказание медицинской помощи;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lastRenderedPageBreak/>
        <w:t>л) график проведения операций по ликвидации разливов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м) организация материально-технического, инженерного и финансового обеспечения операций по ликвидации разливов нефтепродуктов.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5. При расчете необходимого количества сил и средств должны учитываться: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а) максимально возможный объем разлившихся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б) площадь разлива;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в) год ввода в действие и год последнего капитального ремонта объекта;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г) максимальный объем нефтепродуктов на объекте;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) физико-химические свойства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е) влияние места расположения объекта на скорость распространения нефтепродуктов с учетом возможности их попадания в речные акватории и внутренние водоемы;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ж) гидрометеорологические, гидрогеологические и другие условия в месте расположения объекта;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) возможности имеющихся на объекте сил и средств, а также дислоцированных в области профессиональных аварийно-спасательных формирований (при условии их письменного согласия на участие в ликвидации разливов нефтепродуктов);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и) наличие полигонов по перевалке, хранению и переработке отходов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к) транспортная инфраструктура в районе возможного разлива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л) время доставки сил и средств к месту чрезвычайной ситуации;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м) время локализации разлива нефтепродуктов, которое не должно превышать 4 часов при разливе в акватории и 6 часов при разливе на почве.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6. Планы разрабатываются предприятиями и организациями, осуществляющими хранение и транспортировку нефтепродуктов на территории Еврейской автономной области, по согласованию с управлением природных ресурсов правительства Еврейской автономной области и иными органами, определенными Постановлением Правительства Российской Федерации от 21.08.2000 N 613 "О неотложных мерах по предупреждению и ликвидации аварийных разливов нефти и нефтепродуктов".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(п. 6 в ред. постановления губернатора Еврейской автономной области от 13.11.2009 N 244)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7. Отчет о проведении работ по ликвидации разливов нефтепродуктов должен содержать следующие сведения: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а) причина и обстоятельства разливов нефтепродуктов;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б) описание и оценку действий по устранению загрязнения;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в) оценку воздействия разлива нефтепродуктов на окружающую среду и здоровье населения;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(в ред. постановления губернатора Еврейской автономной области от 13.11.2009 N 244)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г) затраты по ликвидации разлива нефтепродуктов, включая расходы на локализацию, сбор, утилизацию нефтепродуктов и последующую реабилитацию территории;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7E4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7E49">
        <w:rPr>
          <w:rFonts w:ascii="Times New Roman" w:hAnsi="Times New Roman" w:cs="Times New Roman"/>
          <w:sz w:val="24"/>
          <w:szCs w:val="24"/>
        </w:rPr>
        <w:t>) уровень остаточного загрязнения;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lastRenderedPageBreak/>
        <w:t>е) информацию о наличии у предприятия (организации) лицензии на занятие соответствующим видом деятельности.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Указанный отчет с приложением к нему необходимых карт (планов), расчетов, графиков, других справочных материалов хранится в соответствующих комиссиях по чрезвычайным ситуациям и пожарной безопасности не менее пяти лет.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8. Порядок и периодичность проверки готовности сил и средств, привлекаемых для ликвидации разливов нефтепродуктов локального, местного и территориального значения, определяется комиссией по чрезвычайным ситуациям и пожарной безопасности правительства области.</w:t>
      </w:r>
    </w:p>
    <w:p w:rsidR="006F7E49" w:rsidRPr="006F7E49" w:rsidRDefault="006F7E49" w:rsidP="006F7E49">
      <w:pPr>
        <w:rPr>
          <w:rFonts w:ascii="Times New Roman" w:hAnsi="Times New Roman" w:cs="Times New Roman"/>
          <w:sz w:val="24"/>
          <w:szCs w:val="24"/>
        </w:rPr>
      </w:pPr>
    </w:p>
    <w:p w:rsidR="00AE08AF" w:rsidRPr="00CF78BC" w:rsidRDefault="006F7E49" w:rsidP="006F7E49">
      <w:pPr>
        <w:rPr>
          <w:rFonts w:ascii="Times New Roman" w:hAnsi="Times New Roman" w:cs="Times New Roman"/>
          <w:sz w:val="24"/>
          <w:szCs w:val="24"/>
        </w:rPr>
      </w:pPr>
      <w:r w:rsidRPr="006F7E49">
        <w:rPr>
          <w:rFonts w:ascii="Times New Roman" w:hAnsi="Times New Roman" w:cs="Times New Roman"/>
          <w:sz w:val="24"/>
          <w:szCs w:val="24"/>
        </w:rPr>
        <w:t>(в ред. постановления губернатора Еврейской автономной области от 13.11.2009 N 244)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a62ddbda36843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