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844AF" w:rsidRPr="00A844AF" w:rsidRDefault="00A844AF" w:rsidP="00A844AF">
      <w:pPr>
        <w:jc w:val="center"/>
        <w:rPr>
          <w:rFonts w:ascii="Times New Roman" w:hAnsi="Times New Roman" w:cs="Times New Roman"/>
          <w:b/>
          <w:sz w:val="24"/>
          <w:szCs w:val="24"/>
        </w:rPr>
      </w:pPr>
      <w:r w:rsidRPr="00A844AF">
        <w:rPr>
          <w:rFonts w:ascii="Times New Roman" w:hAnsi="Times New Roman" w:cs="Times New Roman"/>
          <w:b/>
          <w:sz w:val="24"/>
          <w:szCs w:val="24"/>
        </w:rPr>
        <w:t>ОБ ОХРАНЕ ЗЕЛЕНЫХ НАСАЖДЕНИЙ</w:t>
      </w:r>
    </w:p>
    <w:p w:rsidR="00A844AF" w:rsidRPr="00A844AF" w:rsidRDefault="00A844AF" w:rsidP="00A844AF">
      <w:pPr>
        <w:jc w:val="center"/>
        <w:rPr>
          <w:rFonts w:ascii="Times New Roman" w:hAnsi="Times New Roman" w:cs="Times New Roman"/>
          <w:sz w:val="24"/>
          <w:szCs w:val="24"/>
        </w:rPr>
      </w:pPr>
    </w:p>
    <w:p w:rsidR="00A844AF" w:rsidRPr="00A844AF" w:rsidRDefault="00A844AF" w:rsidP="00A844AF">
      <w:pPr>
        <w:jc w:val="center"/>
        <w:rPr>
          <w:rFonts w:ascii="Times New Roman" w:hAnsi="Times New Roman" w:cs="Times New Roman"/>
          <w:sz w:val="24"/>
          <w:szCs w:val="24"/>
        </w:rPr>
      </w:pPr>
      <w:r w:rsidRPr="00A844AF">
        <w:rPr>
          <w:rFonts w:ascii="Times New Roman" w:hAnsi="Times New Roman" w:cs="Times New Roman"/>
          <w:sz w:val="24"/>
          <w:szCs w:val="24"/>
        </w:rPr>
        <w:t>ЗАКОН</w:t>
      </w:r>
    </w:p>
    <w:p w:rsidR="00A844AF" w:rsidRPr="00A844AF" w:rsidRDefault="00A844AF" w:rsidP="00A844AF">
      <w:pPr>
        <w:jc w:val="center"/>
        <w:rPr>
          <w:rFonts w:ascii="Times New Roman" w:hAnsi="Times New Roman" w:cs="Times New Roman"/>
          <w:sz w:val="24"/>
          <w:szCs w:val="24"/>
        </w:rPr>
      </w:pPr>
    </w:p>
    <w:p w:rsidR="00A844AF" w:rsidRPr="00A844AF" w:rsidRDefault="00A844AF" w:rsidP="00A844AF">
      <w:pPr>
        <w:jc w:val="center"/>
        <w:rPr>
          <w:rFonts w:ascii="Times New Roman" w:hAnsi="Times New Roman" w:cs="Times New Roman"/>
          <w:sz w:val="24"/>
          <w:szCs w:val="24"/>
        </w:rPr>
      </w:pPr>
      <w:r w:rsidRPr="00A844AF">
        <w:rPr>
          <w:rFonts w:ascii="Times New Roman" w:hAnsi="Times New Roman" w:cs="Times New Roman"/>
          <w:sz w:val="24"/>
          <w:szCs w:val="24"/>
        </w:rPr>
        <w:t>РЕСПУБЛИКИ ДАГЕСТАН</w:t>
      </w:r>
    </w:p>
    <w:p w:rsidR="00A844AF" w:rsidRPr="00A844AF" w:rsidRDefault="00A844AF" w:rsidP="00A844AF">
      <w:pPr>
        <w:jc w:val="center"/>
        <w:rPr>
          <w:rFonts w:ascii="Times New Roman" w:hAnsi="Times New Roman" w:cs="Times New Roman"/>
          <w:sz w:val="24"/>
          <w:szCs w:val="24"/>
        </w:rPr>
      </w:pPr>
    </w:p>
    <w:p w:rsidR="00A844AF" w:rsidRPr="00A844AF" w:rsidRDefault="00A844AF" w:rsidP="00A844AF">
      <w:pPr>
        <w:jc w:val="center"/>
        <w:rPr>
          <w:rFonts w:ascii="Times New Roman" w:hAnsi="Times New Roman" w:cs="Times New Roman"/>
          <w:sz w:val="24"/>
          <w:szCs w:val="24"/>
        </w:rPr>
      </w:pPr>
      <w:r w:rsidRPr="00A844AF">
        <w:rPr>
          <w:rFonts w:ascii="Times New Roman" w:hAnsi="Times New Roman" w:cs="Times New Roman"/>
          <w:sz w:val="24"/>
          <w:szCs w:val="24"/>
        </w:rPr>
        <w:t>от 08 июня 2010 года N 28</w:t>
      </w:r>
    </w:p>
    <w:p w:rsidR="00A844AF" w:rsidRPr="00A844AF" w:rsidRDefault="00A844AF" w:rsidP="00A844AF">
      <w:pPr>
        <w:jc w:val="center"/>
        <w:rPr>
          <w:rFonts w:ascii="Times New Roman" w:hAnsi="Times New Roman" w:cs="Times New Roman"/>
          <w:sz w:val="24"/>
          <w:szCs w:val="24"/>
        </w:rPr>
      </w:pPr>
    </w:p>
    <w:p w:rsidR="00A844AF" w:rsidRPr="00A844AF" w:rsidRDefault="00A844AF" w:rsidP="00A844AF">
      <w:pPr>
        <w:jc w:val="center"/>
        <w:rPr>
          <w:rFonts w:ascii="Times New Roman" w:hAnsi="Times New Roman" w:cs="Times New Roman"/>
          <w:sz w:val="24"/>
          <w:szCs w:val="24"/>
        </w:rPr>
      </w:pPr>
      <w:r w:rsidRPr="00A844AF">
        <w:rPr>
          <w:rFonts w:ascii="Times New Roman" w:hAnsi="Times New Roman" w:cs="Times New Roman"/>
          <w:sz w:val="24"/>
          <w:szCs w:val="24"/>
        </w:rPr>
        <w:t>ОБ ОХРАНЕ ЗЕЛЕНЫХ НАСАЖДЕНИЙ</w:t>
      </w:r>
    </w:p>
    <w:p w:rsidR="00A844AF" w:rsidRPr="00A844AF" w:rsidRDefault="00A844AF" w:rsidP="00A844AF">
      <w:pPr>
        <w:jc w:val="right"/>
        <w:rPr>
          <w:rFonts w:ascii="Times New Roman" w:hAnsi="Times New Roman" w:cs="Times New Roman"/>
          <w:sz w:val="24"/>
          <w:szCs w:val="24"/>
        </w:rPr>
      </w:pPr>
    </w:p>
    <w:p w:rsidR="00A844AF" w:rsidRPr="00A844AF" w:rsidRDefault="00A844AF" w:rsidP="00A844AF">
      <w:pPr>
        <w:jc w:val="right"/>
        <w:rPr>
          <w:rFonts w:ascii="Times New Roman" w:hAnsi="Times New Roman" w:cs="Times New Roman"/>
          <w:sz w:val="24"/>
          <w:szCs w:val="24"/>
        </w:rPr>
      </w:pPr>
      <w:proofErr w:type="gramStart"/>
      <w:r w:rsidRPr="00A844AF">
        <w:rPr>
          <w:rFonts w:ascii="Times New Roman" w:hAnsi="Times New Roman" w:cs="Times New Roman"/>
          <w:sz w:val="24"/>
          <w:szCs w:val="24"/>
        </w:rPr>
        <w:t>Принят</w:t>
      </w:r>
      <w:proofErr w:type="gramEnd"/>
    </w:p>
    <w:p w:rsidR="00A844AF" w:rsidRPr="00A844AF" w:rsidRDefault="00A844AF" w:rsidP="00A844AF">
      <w:pPr>
        <w:jc w:val="right"/>
        <w:rPr>
          <w:rFonts w:ascii="Times New Roman" w:hAnsi="Times New Roman" w:cs="Times New Roman"/>
          <w:sz w:val="24"/>
          <w:szCs w:val="24"/>
        </w:rPr>
      </w:pPr>
    </w:p>
    <w:p w:rsidR="00A844AF" w:rsidRPr="00A844AF" w:rsidRDefault="00A844AF" w:rsidP="00A844AF">
      <w:pPr>
        <w:jc w:val="right"/>
        <w:rPr>
          <w:rFonts w:ascii="Times New Roman" w:hAnsi="Times New Roman" w:cs="Times New Roman"/>
          <w:sz w:val="24"/>
          <w:szCs w:val="24"/>
        </w:rPr>
      </w:pPr>
      <w:r w:rsidRPr="00A844AF">
        <w:rPr>
          <w:rFonts w:ascii="Times New Roman" w:hAnsi="Times New Roman" w:cs="Times New Roman"/>
          <w:sz w:val="24"/>
          <w:szCs w:val="24"/>
        </w:rPr>
        <w:t>Народным Собранием</w:t>
      </w:r>
    </w:p>
    <w:p w:rsidR="00A844AF" w:rsidRPr="00A844AF" w:rsidRDefault="00A844AF" w:rsidP="00A844AF">
      <w:pPr>
        <w:jc w:val="right"/>
        <w:rPr>
          <w:rFonts w:ascii="Times New Roman" w:hAnsi="Times New Roman" w:cs="Times New Roman"/>
          <w:sz w:val="24"/>
          <w:szCs w:val="24"/>
        </w:rPr>
      </w:pPr>
    </w:p>
    <w:p w:rsidR="00A844AF" w:rsidRPr="00A844AF" w:rsidRDefault="00A844AF" w:rsidP="00A844AF">
      <w:pPr>
        <w:jc w:val="right"/>
        <w:rPr>
          <w:rFonts w:ascii="Times New Roman" w:hAnsi="Times New Roman" w:cs="Times New Roman"/>
          <w:sz w:val="24"/>
          <w:szCs w:val="24"/>
        </w:rPr>
      </w:pPr>
      <w:r w:rsidRPr="00A844AF">
        <w:rPr>
          <w:rFonts w:ascii="Times New Roman" w:hAnsi="Times New Roman" w:cs="Times New Roman"/>
          <w:sz w:val="24"/>
          <w:szCs w:val="24"/>
        </w:rPr>
        <w:t>Республики Дагестан</w:t>
      </w:r>
    </w:p>
    <w:p w:rsidR="00A844AF" w:rsidRPr="00A844AF" w:rsidRDefault="00A844AF" w:rsidP="00A844AF">
      <w:pPr>
        <w:jc w:val="right"/>
        <w:rPr>
          <w:rFonts w:ascii="Times New Roman" w:hAnsi="Times New Roman" w:cs="Times New Roman"/>
          <w:sz w:val="24"/>
          <w:szCs w:val="24"/>
        </w:rPr>
      </w:pPr>
    </w:p>
    <w:p w:rsidR="00A844AF" w:rsidRPr="00A844AF" w:rsidRDefault="00A844AF" w:rsidP="00A844AF">
      <w:pPr>
        <w:jc w:val="right"/>
        <w:rPr>
          <w:rFonts w:ascii="Times New Roman" w:hAnsi="Times New Roman" w:cs="Times New Roman"/>
          <w:sz w:val="24"/>
          <w:szCs w:val="24"/>
        </w:rPr>
      </w:pPr>
      <w:r w:rsidRPr="00A844AF">
        <w:rPr>
          <w:rFonts w:ascii="Times New Roman" w:hAnsi="Times New Roman" w:cs="Times New Roman"/>
          <w:sz w:val="24"/>
          <w:szCs w:val="24"/>
        </w:rPr>
        <w:t>27 мая 2010 года</w:t>
      </w:r>
    </w:p>
    <w:p w:rsidR="00A844AF" w:rsidRPr="00A844AF" w:rsidRDefault="00A844AF" w:rsidP="00A844AF">
      <w:pPr>
        <w:jc w:val="right"/>
        <w:rPr>
          <w:rFonts w:ascii="Times New Roman" w:hAnsi="Times New Roman" w:cs="Times New Roman"/>
          <w:sz w:val="24"/>
          <w:szCs w:val="24"/>
        </w:rPr>
      </w:pPr>
    </w:p>
    <w:p w:rsidR="00A844AF" w:rsidRPr="00A844AF" w:rsidRDefault="00A844AF" w:rsidP="00A844AF">
      <w:pPr>
        <w:jc w:val="center"/>
        <w:rPr>
          <w:rFonts w:ascii="Times New Roman" w:hAnsi="Times New Roman" w:cs="Times New Roman"/>
          <w:sz w:val="24"/>
          <w:szCs w:val="24"/>
        </w:rPr>
      </w:pPr>
      <w:proofErr w:type="gramStart"/>
      <w:r w:rsidRPr="00A844AF">
        <w:rPr>
          <w:rFonts w:ascii="Times New Roman" w:hAnsi="Times New Roman" w:cs="Times New Roman"/>
          <w:sz w:val="24"/>
          <w:szCs w:val="24"/>
        </w:rPr>
        <w:t>(Изменения и дополнения:</w:t>
      </w:r>
      <w:proofErr w:type="gramEnd"/>
    </w:p>
    <w:p w:rsidR="00A844AF" w:rsidRPr="00A844AF" w:rsidRDefault="00A844AF" w:rsidP="00A844AF">
      <w:pPr>
        <w:jc w:val="center"/>
        <w:rPr>
          <w:rFonts w:ascii="Times New Roman" w:hAnsi="Times New Roman" w:cs="Times New Roman"/>
          <w:sz w:val="24"/>
          <w:szCs w:val="24"/>
        </w:rPr>
      </w:pPr>
    </w:p>
    <w:p w:rsidR="00A844AF" w:rsidRDefault="00A844AF" w:rsidP="00A844AF">
      <w:pPr>
        <w:jc w:val="center"/>
        <w:rPr>
          <w:rFonts w:ascii="Times New Roman" w:hAnsi="Times New Roman" w:cs="Times New Roman"/>
          <w:sz w:val="24"/>
          <w:szCs w:val="24"/>
        </w:rPr>
      </w:pPr>
      <w:r w:rsidRPr="00A844AF">
        <w:rPr>
          <w:rFonts w:ascii="Times New Roman" w:hAnsi="Times New Roman" w:cs="Times New Roman"/>
          <w:sz w:val="24"/>
          <w:szCs w:val="24"/>
        </w:rPr>
        <w:t>Закон Республики Дагестан от 08.04.2014 N 24, НГР:</w:t>
      </w:r>
      <w:proofErr w:type="gramStart"/>
      <w:r w:rsidRPr="00A844AF">
        <w:rPr>
          <w:rFonts w:ascii="Times New Roman" w:hAnsi="Times New Roman" w:cs="Times New Roman"/>
          <w:sz w:val="24"/>
          <w:szCs w:val="24"/>
        </w:rPr>
        <w:t>RU05000201400122)</w:t>
      </w:r>
      <w:proofErr w:type="gramEnd"/>
    </w:p>
    <w:p w:rsidR="00A844AF" w:rsidRDefault="00A844AF" w:rsidP="00A844AF">
      <w:pPr>
        <w:jc w:val="center"/>
        <w:rPr>
          <w:rFonts w:ascii="Times New Roman" w:hAnsi="Times New Roman" w:cs="Times New Roman"/>
          <w:sz w:val="24"/>
          <w:szCs w:val="24"/>
        </w:rPr>
      </w:pPr>
    </w:p>
    <w:p w:rsidR="00A844AF" w:rsidRPr="00A844AF" w:rsidRDefault="00A844AF" w:rsidP="00A844AF">
      <w:pPr>
        <w:jc w:val="cente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1. Предмет регулирования настоящего Закона</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Настоящий Закон в соответствии с федеральным законодательством в области охраны окружающей среды регулирует отношения в сфере охраны зеленых насаждений в населенных пунктах Республики Дагестан.</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Действие настоящего Закона не распространяется на отношения в сфере охраны зеленых насаждений на земельных участках, занятых индивидуальной жилой застройкой, садовых, огородных, дачных и приусадебных земельных участках.</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2. Основные понятия, используемые в настоящем Законе</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Для целей настоящего Закона используются следующие основные понятия: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 xml:space="preserve">1) зеленые насаждения - древесно-кустарниковая и травянистая растительность естественного и искусственного происхождения (включая городские леса, парки, бульвары, скверы, сады, газоны, цветники, а также отдельно стоящие деревья и кустарники), расположенная в населенных пунктах и выполняющая </w:t>
      </w:r>
      <w:proofErr w:type="spellStart"/>
      <w:r w:rsidRPr="00A844AF">
        <w:rPr>
          <w:rFonts w:ascii="Times New Roman" w:hAnsi="Times New Roman" w:cs="Times New Roman"/>
          <w:sz w:val="24"/>
          <w:szCs w:val="24"/>
        </w:rPr>
        <w:t>средообразующие</w:t>
      </w:r>
      <w:proofErr w:type="spellEnd"/>
      <w:r w:rsidRPr="00A844AF">
        <w:rPr>
          <w:rFonts w:ascii="Times New Roman" w:hAnsi="Times New Roman" w:cs="Times New Roman"/>
          <w:sz w:val="24"/>
          <w:szCs w:val="24"/>
        </w:rPr>
        <w:t>, рекреационные, санитарно-гигиенические и экологические функции;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зеленый фонд городских и сельских поселений - совокупность территорий, на которых расположены лесные и иные насаждения, в том числе в зеленых зонах, лесопарковых зонах, и других озелененных территорий в границах этих поселений;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охрана зеленых насаждений - система мероприятий, обеспечивающих сохранение и развитие зеленых насаждений, представляющая собой деятельность по созданию, сохранению и оценке состояния зеленых насаждений, направленную на создание благоприятной окружающей среды и нормализацию экологической обстановки;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повреждение зеленых насаждений - механическое, термическое или химическое воздействие на зеленые насаждения, загрязнение почвы в зоне зеленых насаждений вредными веществами, приводящие к нарушению целостности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5) уничтожение зеленых насаждений - механическое, термическое или химическое воздействие на зеленые насаждения, загрязнение почвы в зоне зеленых насаждений вредными веществами, приводящие к гибели или утрате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lastRenderedPageBreak/>
        <w:t>6) аварийно-опасные деревья - деревья, представляющие опасность для жизни и здоровья граждан и создающие аварийно-опасные ситуации;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7) сухостойные деревья и кустарники - деревья и кустарники, утратившие физиологическую устойчивость и подлежащие вырубке;</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8) компенсационное озеленение - создание зеленых насаждений взамен уничтоженных и их сохранение до полной приживаемости.</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3. Особенности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Планирование хозяйственной и иной деятельности на территориях, занятых зелеными насаждениями, должно предусматривать проведение мероприятий по созданию и сохранению зеленых насаждений в соответствии с градостроительными, санитарными, экологическими и иными нормами и правилами.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При осуществлении хозяйственной и иной деятельности на территориях, занятых зелеными насаждениями, субъекты хозяйственной и иной деятельности проводят мероприятия по созданию и сохранению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Если на территории, занятой зелеными насаждениями, предусмотрено размещение объектов капитального строительства, заказчик и (или) субъект хозяйственной и иной деятельности по согласованию с органами местного самоуправления городского округа, городского или сельского поселения производят пересадку деревьев и компенсационное озеленение кустарниковой и травянистой растительностью.</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Указанные мероприятия считаются выполненными после полной приживаемости зеленых насаждений и их передачи органам местного самоуправления городского округа, городского или сельского поселения.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В случае гибели зеленых насаждений заказчик и (или) субъект хозяйственной и иной деятельности возмещают вред, причиненный окружающей среде, в соответствии со статьей 9 настоящего Закона.</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В населенных пунктах запрещается: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повреждение и уничтожение зеленых насаждений, за исключением случаев, установленных федеральным законодательством и настоящим Законом;</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 xml:space="preserve">2) хозяйственная и иная деятельность на территориях, занятых зелеными насаждениями, оказывающая негативное воздействие на указанные территории и препятствующая выполнению зелеными насаждениями </w:t>
      </w:r>
      <w:proofErr w:type="spellStart"/>
      <w:r w:rsidRPr="00A844AF">
        <w:rPr>
          <w:rFonts w:ascii="Times New Roman" w:hAnsi="Times New Roman" w:cs="Times New Roman"/>
          <w:sz w:val="24"/>
          <w:szCs w:val="24"/>
        </w:rPr>
        <w:t>средообразующих</w:t>
      </w:r>
      <w:proofErr w:type="spellEnd"/>
      <w:r w:rsidRPr="00A844AF">
        <w:rPr>
          <w:rFonts w:ascii="Times New Roman" w:hAnsi="Times New Roman" w:cs="Times New Roman"/>
          <w:sz w:val="24"/>
          <w:szCs w:val="24"/>
        </w:rPr>
        <w:t>, рекреационных, санитарно-гигиенических и экологических функций, за исключением случаев, установленных федеральным законодательством и настоящим Законом.</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5. Уничтожение зеленых насаждений допускается в следующих случаях:</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при вырубке аварийно-опасных деревьев, сухостойных деревьев и кустарников - в соответствии с актом оценки состояния зеленых насаждений на основании решения уполномоченного органа (должностного лица) местного самоуправления городского округа, городского или сельского поселения;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при осуществлении мероприятий по предупреждению и ликвидации чрезвычайных ситуаций - на основании решения уполномоченного органа (должностного лица) местного самоуправления городского округа, городского или сельского поселения;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при невозможности пересадки деревьев и сохранения кустарниковой и травянистой растительности при осуществлении хозяйственной и иной деятельности на территории, занятой зелеными насаждениями, - на основании решения уполномоченного Правительством Республики Дагестан органа исполнительной власти Республики Дагестан в соответствии с представлением органа местного самоуправления о состоянии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6. Порядок охраны зеленых насаждений устанавливается Правительством Республики Дагестан.</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lastRenderedPageBreak/>
        <w:t>7. Организация проведения мероприятий по охране зеленых насаждений осуществляется органами местного самоуправления городских округов, городских и сельских поселений в соответствии с федеральным законодательством и законодательством Республики Дагестан.</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4. Полномочия органов государственной власти Республики Дагестан в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 xml:space="preserve">1. К полномочиям Народного Собрания Республики Дагестан относятся принятие </w:t>
      </w:r>
      <w:proofErr w:type="gramStart"/>
      <w:r w:rsidRPr="00A844AF">
        <w:rPr>
          <w:rFonts w:ascii="Times New Roman" w:hAnsi="Times New Roman" w:cs="Times New Roman"/>
          <w:sz w:val="24"/>
          <w:szCs w:val="24"/>
        </w:rPr>
        <w:t>законов по регулированию</w:t>
      </w:r>
      <w:proofErr w:type="gramEnd"/>
      <w:r w:rsidRPr="00A844AF">
        <w:rPr>
          <w:rFonts w:ascii="Times New Roman" w:hAnsi="Times New Roman" w:cs="Times New Roman"/>
          <w:sz w:val="24"/>
          <w:szCs w:val="24"/>
        </w:rPr>
        <w:t xml:space="preserve"> отношений, возникающих в сфере охраны зеленых насаждений, и осуществление контроля за их исполнением.</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К полномочиям Правительства Республики Дагестан относятся: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обеспечение проведения государственной политики в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организация разработки, утверждение и реализация государственных программ Республики Дагестан в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roofErr w:type="gramStart"/>
      <w:r w:rsidRPr="00A844AF">
        <w:rPr>
          <w:rFonts w:ascii="Times New Roman" w:hAnsi="Times New Roman" w:cs="Times New Roman"/>
          <w:sz w:val="24"/>
          <w:szCs w:val="24"/>
        </w:rPr>
        <w:t>(Пункт 2 части 2 статьи 4 в редакции Закона Республики Дагестан от 08.04.2014 N 24, НГР:RU05000201400122)</w:t>
      </w:r>
      <w:proofErr w:type="gramEnd"/>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Пункт 3 части 2 статьи 4 утратил силу - Закон Республики Дагестан от 08.04.2014 N 24, НГР:RU05000201400122;</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принятие нормативных правовых актов по вопросам, относящимся к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5) обеспечение населения информацией в сфере охраны зеленых насаждений.</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5. Полномочия органов местного самоуправления в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lastRenderedPageBreak/>
        <w:t>Полномочия органов местного самоуправления в сфере охраны зеленых насаждений определяются в соответствии с законодательством Российской Федерации.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roofErr w:type="gramStart"/>
      <w:r w:rsidRPr="00A844AF">
        <w:rPr>
          <w:rFonts w:ascii="Times New Roman" w:hAnsi="Times New Roman" w:cs="Times New Roman"/>
          <w:sz w:val="24"/>
          <w:szCs w:val="24"/>
        </w:rPr>
        <w:t>(Статья 5 в редакции Закона Республики Дагестан от 08.04.2014 N 24, НГР:RU05000201400122)</w:t>
      </w:r>
      <w:proofErr w:type="gramEnd"/>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6. Права граждан и юридических лиц в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В сфере охраны зеленых насаждений граждане и юридические лица имеют право:</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оказывать содействие органам государственной власти и органам местного самоуправления в решении вопросов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принимать участие в собраниях, митингах, демонстрациях, сборе подписей под петициями по вопросам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получать от органов государственной власти и органов местного самоуправления достоверную информацию о планируемых и ведущихся работах на территориях, занятых зелеными насаждениями;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обращаться в органы государственной власти и органы местного самоуправления с сообщениями по факту уничтожения или повреждения зеленых насаждений.</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7. Обязанности граждан и юридических лиц в сфере охраны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В сфере охраны зеленых насаждений граждане и юридические лица обязаны обеспечивать сохранность зеленых насаждений, не допускать незаконных действий или бездействия, способных привести к повреждению или уничтожению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На озелененных территориях запрещается: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повреждение или уничтожение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совершение действий, создающих пожароопасную обстановку;</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проезд и стоянка транспортных средств и дорожной техники, кроме техники, связанной с эксплуатацией данных территорий и уходом за зелеными насаждениями;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погрузочно-разгрузочные работы;</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5) ремонт, слив отходов, мойка транспортных средств, установка гаражей;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6) совершение иных действий, способных нанести ущерб зеленым насаждениям.</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8. Вырубка (снос), пересадка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 xml:space="preserve">1. Вырубка (снос), пересадка зеленых насаждений в городских и сельских поселениях и в полосе отвода автомобильных дорог Республики Дагестан могут проводиться в исключительных случаях, связанных </w:t>
      </w:r>
      <w:proofErr w:type="gramStart"/>
      <w:r w:rsidRPr="00A844AF">
        <w:rPr>
          <w:rFonts w:ascii="Times New Roman" w:hAnsi="Times New Roman" w:cs="Times New Roman"/>
          <w:sz w:val="24"/>
          <w:szCs w:val="24"/>
        </w:rPr>
        <w:t>с</w:t>
      </w:r>
      <w:proofErr w:type="gramEnd"/>
      <w:r w:rsidRPr="00A844AF">
        <w:rPr>
          <w:rFonts w:ascii="Times New Roman" w:hAnsi="Times New Roman" w:cs="Times New Roman"/>
          <w:sz w:val="24"/>
          <w:szCs w:val="24"/>
        </w:rPr>
        <w:t>:</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осуществлением строительства, реконструкции или капитального ремонта вне пределов зеленых зон зеленого фонда городских и сельских поселений;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проведением реконструкции зеленых насаждений в соответствии с проектом реконструкции, согласованным с органом, уполномоченным в сфере государственного экологического надзора Республики Дагестан, и утвержденным в соответствии с законодательством;</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roofErr w:type="gramStart"/>
      <w:r w:rsidRPr="00A844AF">
        <w:rPr>
          <w:rFonts w:ascii="Times New Roman" w:hAnsi="Times New Roman" w:cs="Times New Roman"/>
          <w:sz w:val="24"/>
          <w:szCs w:val="24"/>
        </w:rPr>
        <w:t>(Пункт 2 части 1 статьи 8 в редакции Закона Республики Дагестан от 08.04.2014 N 24, НГР:RU05000201400122)</w:t>
      </w:r>
      <w:proofErr w:type="gramEnd"/>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 xml:space="preserve">3) восстановлением нормативного светового режима в помещениях, затеняемых зелеными насаждениями, на основании заключения уполномоченного федерального органа исполнительной </w:t>
      </w:r>
      <w:r w:rsidRPr="00A844AF">
        <w:rPr>
          <w:rFonts w:ascii="Times New Roman" w:hAnsi="Times New Roman" w:cs="Times New Roman"/>
          <w:sz w:val="24"/>
          <w:szCs w:val="24"/>
        </w:rPr>
        <w:lastRenderedPageBreak/>
        <w:t>власти, осуществляющего функции по надзору в сфере защиты прав потребителей и благополучия человека;</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 xml:space="preserve">4) исполнением </w:t>
      </w:r>
      <w:proofErr w:type="gramStart"/>
      <w:r w:rsidRPr="00A844AF">
        <w:rPr>
          <w:rFonts w:ascii="Times New Roman" w:hAnsi="Times New Roman" w:cs="Times New Roman"/>
          <w:sz w:val="24"/>
          <w:szCs w:val="24"/>
        </w:rPr>
        <w:t>предписаний органов безопасности дорожного движения Республики</w:t>
      </w:r>
      <w:proofErr w:type="gramEnd"/>
      <w:r w:rsidRPr="00A844AF">
        <w:rPr>
          <w:rFonts w:ascii="Times New Roman" w:hAnsi="Times New Roman" w:cs="Times New Roman"/>
          <w:sz w:val="24"/>
          <w:szCs w:val="24"/>
        </w:rPr>
        <w:t xml:space="preserve"> Дагестан об устранении нарушений нормативных правовых актов и технических норм в области обеспечения безопасности дорожного движения;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5) предотвращением или ликвидацией аварийных и чрезвычайных ситуаций, в том числе ремонтом подземных коммуникаций и капитальных инженерных сооружений, эксплуатацией открытых осушительных систем.</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Во всех случаях вырубка (снос) зеленых насаждений, расположенных на территориях городских и сельских поселений и в полосе отвода автомобильных дорог Республики Дагестан, производится на основании порубочного билета, кроме вырубки (сноса), пересадки зеленых насаждений на земельных участках, предназначенных для ведения садоводства и огородничества, в соответствии с видом разрешенного использования. Выдача порубочного билета должна предшествовать обращению за разрешением на строительство.</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Вырубка (снос) зеленых насаждений осуществляется на основании порубочного билета, выдаваемого в порядке, установленном Правительством Республики Дагестан.</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Пересадка зеленых насаждений может осуществляться в исключительных случаях в соответствии с разрешением на пересадку, выдаваемым на основании положительного заключения специализированной организации, определяемой в порядке, установленном Правительством Республики Дагестан.</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Порядок выдачи разрешений на пересадку зеленых насаждений устанавливается Правительством Республики Дагестан.</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Разрешение на вырубку (снос) зеленых насаждений (порубочные билеты) получают:</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арендаторы и пользователи - на земельных участках, находящихся в аренде или пользовании граждан или юридических лиц;</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застройщики - на земельных участках, отведенных под строительство.</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5. По требованию должностных лиц органов государственной власти и (или) органов местного самоуправления при осуществлении вырубки (сноса) зеленых насаждений на месте производства работ должен предъявляться порубочный билет, а при осуществлении пересадки - разрешение на пересадку, выданные в установленном порядке.</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6. Ведение лесного хозяйства, использование, охрана, защита и воспроизводство лесов, расположенных в границах населенных пунктов (городских лесов, а также зеленых зон, лесопарковых зон), осуществляются в соответствии с федеральным законодательством и законодательством Республики Дагестан.</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9. Возмещение вреда, причиненного окружающей среде в результате повреждения или уничтожения зеленых насаждений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Вред, причиненный окружающей среде в результате повреждения или уничтожения зеленых насаждений, подлежит возмещению в соответствии с федеральным законодательством и законодательством Республики Дагестан.</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Исчисление размера ущерба, причиненного зеленым насаждениям, осуществляется в соответствии с федеральным законодательством и законодательством Республики Дагестан.</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10. Компенсационное озеленение</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1. Компенсационное озеленение производится на территориях, на которых было произведено уничтожение зеленых насаждений. При невозможности компенсационного озеленения на указанных территориях оно производится на территориях, определенных органами местного самоуправления городских округов, городских или сельских поселений.</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2. Компенсационное озеленение производится с двукратным превышением от общего количества уничтоженной древесно-кустарниковой растительности и площади уничтоженной травянистой растительности.</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3. Зеленые насаждения, созданные в результате компенсационного озеленения, после их полной приживаемости передаются органам местного самоуправления городского округа, городского или сельского поселения.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4. Компенсационное озеленение производится за счет средств физических или юридических лиц, в интересах которых либо вследствие противоправных действий которых произошло повреждение или уничтожение зеленых насаждений.</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11. Ответственность за нарушение настоящего Закона</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Нарушение требований настоящего Закона влечет за собой ответственность, предусмотренную федеральным законодательством и законодательством Республики Дагестан. Привлечение к ответственности не освобождает правонарушителей от устранения допущенных нарушений и возмещения вреда окружающей среде в полном объеме.</w:t>
      </w: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Статья 12. Вступление в силу настоящего Закона</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Настоящий Закон вступает в силу по истечении десяти дней со дня его официального опубликования.</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Президент</w:t>
      </w:r>
    </w:p>
    <w:p w:rsidR="00A844AF" w:rsidRPr="00A844AF" w:rsidRDefault="00A844AF" w:rsidP="00A844AF">
      <w:pPr>
        <w:rPr>
          <w:rFonts w:ascii="Times New Roman" w:hAnsi="Times New Roman" w:cs="Times New Roman"/>
          <w:sz w:val="24"/>
          <w:szCs w:val="24"/>
        </w:rPr>
      </w:pPr>
    </w:p>
    <w:p w:rsidR="00A844AF" w:rsidRPr="00A844AF"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Республики Дагестан</w:t>
      </w:r>
    </w:p>
    <w:p w:rsidR="00A844AF" w:rsidRPr="00A844AF" w:rsidRDefault="00A844AF" w:rsidP="00A844AF">
      <w:pPr>
        <w:rPr>
          <w:rFonts w:ascii="Times New Roman" w:hAnsi="Times New Roman" w:cs="Times New Roman"/>
          <w:sz w:val="24"/>
          <w:szCs w:val="24"/>
        </w:rPr>
      </w:pPr>
    </w:p>
    <w:p w:rsidR="00343E9B" w:rsidRPr="0003170C" w:rsidRDefault="00A844AF" w:rsidP="00A844AF">
      <w:pPr>
        <w:rPr>
          <w:rFonts w:ascii="Times New Roman" w:hAnsi="Times New Roman" w:cs="Times New Roman"/>
          <w:sz w:val="24"/>
          <w:szCs w:val="24"/>
        </w:rPr>
      </w:pPr>
      <w:r w:rsidRPr="00A844AF">
        <w:rPr>
          <w:rFonts w:ascii="Times New Roman" w:hAnsi="Times New Roman" w:cs="Times New Roman"/>
          <w:sz w:val="24"/>
          <w:szCs w:val="24"/>
        </w:rPr>
        <w:t>М. Магомедов</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343E9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 w:type="character" w:customStyle="1" w:styleId="30">
    <w:name w:val="Заголовок 3 Знак"/>
    <w:basedOn w:val="a0"/>
    <w:link w:val="3"/>
    <w:uiPriority w:val="9"/>
    <w:rsid w:val="00343E9B"/>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998f5413bee493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