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C740A7" w14:textId="77777777" w:rsidR="00115DBD" w:rsidRDefault="00115DBD" w:rsidP="00115DB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ГОРОДА НЕФТЕЮГАНСКА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14 июня 2018 года N 86-нп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накопления твердых коммунальных отходов (в том числе раздельного накопления) на территории муниципального образования город Нефтеюганск</w:t>
      </w:r>
    </w:p>
    <w:p w14:paraId="3107EF81" w14:textId="77777777" w:rsidR="00115DBD" w:rsidRDefault="00115DBD" w:rsidP="00115DB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11 сентября 2020 года)</w:t>
      </w:r>
    </w:p>
    <w:p w14:paraId="187C017C" w14:textId="77777777" w:rsidR="00115DBD" w:rsidRDefault="00115DBD" w:rsidP="00115DB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 Администрации города Нефтеюганска от 26.08.2019 N 148-нп, от 11.09.2020 N 137-нп)</w:t>
      </w:r>
    </w:p>
    <w:p w14:paraId="68519F74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1E5F01D4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Федеральными законами от 24.06.1998 N 89-ФЗ "Об отходах производства и потребления", от 06.10.2003 N 131-ФЗ "Об общих принципах организации местного самоуправления в Российской Федерации",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25.08.2008 N 641", Законом Ханты-Мансийского автономного округа - Югры от 17.11.2016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отходами", приказом Департамента промышленности Ханты-Мансийского автономного округа - Югры от 14.02.2018 N 38-п-37 "О внесении изменений в приказ Департамента промышленности Ханты-Мансийского автономного округа - Югры от 06.10.2017 N 38-п-162 "Об утверждении методических рекомендаций по исполнению органами местного самоуправления муниципальных образований Ханты-Мансийского автономного округа - Югры отдельных полномочий в сфере обращения с твердыми коммунальными отходами" администрация города Нефтеюганска постановляет:</w:t>
      </w:r>
      <w:r>
        <w:rPr>
          <w:rFonts w:ascii="Arial" w:hAnsi="Arial" w:cs="Arial"/>
          <w:color w:val="444444"/>
        </w:rPr>
        <w:br/>
      </w:r>
    </w:p>
    <w:p w14:paraId="3DD5EFF1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62C6CB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 порядок накопления твердых коммунальных отходов (в том числе раздельного накопления) на территории муниципального образования город Нефтеюганск согласно приложению.</w:t>
      </w:r>
      <w:r>
        <w:rPr>
          <w:rFonts w:ascii="Arial" w:hAnsi="Arial" w:cs="Arial"/>
          <w:color w:val="444444"/>
        </w:rPr>
        <w:br/>
      </w:r>
    </w:p>
    <w:p w14:paraId="0F713636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396EA4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Обнародовать (опубликовать) постановление в газете "Здравствуйте, </w:t>
      </w:r>
      <w:proofErr w:type="spellStart"/>
      <w:r>
        <w:rPr>
          <w:rFonts w:ascii="Arial" w:hAnsi="Arial" w:cs="Arial"/>
          <w:color w:val="444444"/>
        </w:rPr>
        <w:t>нефтеюганцы</w:t>
      </w:r>
      <w:proofErr w:type="spellEnd"/>
      <w:r>
        <w:rPr>
          <w:rFonts w:ascii="Arial" w:hAnsi="Arial" w:cs="Arial"/>
          <w:color w:val="444444"/>
        </w:rPr>
        <w:t>!".</w:t>
      </w:r>
      <w:r>
        <w:rPr>
          <w:rFonts w:ascii="Arial" w:hAnsi="Arial" w:cs="Arial"/>
          <w:color w:val="444444"/>
        </w:rPr>
        <w:br/>
      </w:r>
    </w:p>
    <w:p w14:paraId="075645D3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C164A1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Департаменту по делам администрации города (Нечаева </w:t>
      </w:r>
      <w:proofErr w:type="gramStart"/>
      <w:r>
        <w:rPr>
          <w:rFonts w:ascii="Arial" w:hAnsi="Arial" w:cs="Arial"/>
          <w:color w:val="444444"/>
        </w:rPr>
        <w:t>С.И.</w:t>
      </w:r>
      <w:proofErr w:type="gramEnd"/>
      <w:r>
        <w:rPr>
          <w:rFonts w:ascii="Arial" w:hAnsi="Arial" w:cs="Arial"/>
          <w:color w:val="444444"/>
        </w:rPr>
        <w:t>) разместить постановление на официальном сайте органов местного самоуправления города Нефтеюганска в сети Интернет.</w:t>
      </w:r>
      <w:r>
        <w:rPr>
          <w:rFonts w:ascii="Arial" w:hAnsi="Arial" w:cs="Arial"/>
          <w:color w:val="444444"/>
        </w:rPr>
        <w:br/>
      </w:r>
    </w:p>
    <w:p w14:paraId="7D3E3812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FA0499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4. Контроль исполнения постановления возложить на заместителя главы города </w:t>
      </w:r>
      <w:proofErr w:type="spellStart"/>
      <w:r>
        <w:rPr>
          <w:rFonts w:ascii="Arial" w:hAnsi="Arial" w:cs="Arial"/>
          <w:color w:val="444444"/>
        </w:rPr>
        <w:t>А.А.Метелева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08F3760" w14:textId="77777777" w:rsidR="00115DBD" w:rsidRDefault="00115DBD" w:rsidP="00115DB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Глава города Нефтеюганска</w:t>
      </w:r>
      <w:r>
        <w:rPr>
          <w:rFonts w:ascii="Arial" w:hAnsi="Arial" w:cs="Arial"/>
          <w:color w:val="444444"/>
        </w:rPr>
        <w:br/>
        <w:t>С.Ю.ДЕГТЯРЕВ</w:t>
      </w:r>
    </w:p>
    <w:p w14:paraId="214C36E4" w14:textId="77777777" w:rsidR="00115DBD" w:rsidRDefault="00115DBD" w:rsidP="00115DB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города</w:t>
      </w:r>
      <w:r>
        <w:rPr>
          <w:rFonts w:ascii="Arial" w:hAnsi="Arial" w:cs="Arial"/>
          <w:color w:val="444444"/>
          <w:sz w:val="24"/>
          <w:szCs w:val="24"/>
        </w:rPr>
        <w:br/>
        <w:t>от 14.06.2018 N 86-нп</w:t>
      </w:r>
    </w:p>
    <w:p w14:paraId="03E29A94" w14:textId="77777777" w:rsidR="00115DBD" w:rsidRDefault="00115DBD" w:rsidP="00115DB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НАКОПЛЕНИЯ ТВЕРДЫХ КОММУНАЛЬНЫХ ОТХОДОВ (В ТОМ ЧИСЛЕ РАЗДЕЛЬНОГО НАКОПЛЕНИЯ) НА ТЕРРИТОРИИ МУНИЦИПАЛЬНОГО ОБРАЗОВАНИЯ ГОРОД НЕФТЕЮГАНСК ХАНТЫ-МАНСИЙСКОГО АВТОНОМНОГО ОКРУГА - ЮГРЫ</w:t>
      </w:r>
    </w:p>
    <w:p w14:paraId="2750D9C3" w14:textId="77777777" w:rsidR="00115DBD" w:rsidRDefault="00115DBD" w:rsidP="00115DB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постановления Администрации города Нефтеюганска от 11.09.2020 N 137-нп)</w:t>
      </w:r>
    </w:p>
    <w:p w14:paraId="63BED7F1" w14:textId="77777777" w:rsidR="00115DBD" w:rsidRDefault="00115DBD" w:rsidP="00115DB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1. Общие положения</w:t>
      </w:r>
    </w:p>
    <w:p w14:paraId="2B6F2B0B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D30D73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Порядок разработан в соответствии с Федеральным законом от 24 июня 1998 года N 89-ФЗ "Об отходах производства и потребления" (далее - Федеральный закон N 89-ФЗ), постановлением Правительства Российской Федерации 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года N 641" (далее - Правила обращения с твердыми коммунальными отходами), Законом Ханты-Мансийского автономного округа - Югры (далее - автономный округ) от 17 ноября 2016 года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отходами", постановлением Правительства Ханты-Мансийского автономного округа - Югры от 11 июля 2019 года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>
        <w:rPr>
          <w:rFonts w:ascii="Arial" w:hAnsi="Arial" w:cs="Arial"/>
          <w:color w:val="444444"/>
        </w:rPr>
        <w:br/>
      </w:r>
    </w:p>
    <w:p w14:paraId="55B7E76B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35CA44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1.2. Порядок устанавливает требования к организации деятельности по накоплению на территории города Нефтеюганска твердых коммунальных отходов (далее - ТКО), в том числе их раздельному накоплению, в целях обеспечения экологического и санитарно-эпидемиологического благополучия населения, предотвращения вредного воздействия ТКО на окружающую среду и здоровье человека, сбережения природных ресурсов, увеличения показателей обработки и </w:t>
      </w:r>
      <w:r>
        <w:rPr>
          <w:rFonts w:ascii="Arial" w:hAnsi="Arial" w:cs="Arial"/>
          <w:color w:val="444444"/>
        </w:rPr>
        <w:lastRenderedPageBreak/>
        <w:t>утилизации ТКО.</w:t>
      </w:r>
      <w:r>
        <w:rPr>
          <w:rFonts w:ascii="Arial" w:hAnsi="Arial" w:cs="Arial"/>
          <w:color w:val="444444"/>
        </w:rPr>
        <w:br/>
      </w:r>
    </w:p>
    <w:p w14:paraId="299D56BD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1567CE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В Порядке используются понятия в значениях, определенных Федеральным законом N 89-ФЗ, Правилами обращения с твердыми коммунальными отходами, постановлением Государственного комитета Российской Федерации по строительству и жилищно-коммунальному комплексу от 29 октября 2002 года N 148 "О Своде правил по проектированию и строительству "Мусоропроводы жилых и общественных зданий и сооружений" (СП 31-108-2002)", постановлением Правительства Ханты-Мансийского автономного округа - Югры от 11 июля 2019 года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>
        <w:rPr>
          <w:rFonts w:ascii="Arial" w:hAnsi="Arial" w:cs="Arial"/>
          <w:color w:val="444444"/>
        </w:rPr>
        <w:br/>
      </w:r>
    </w:p>
    <w:p w14:paraId="143C06D5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DEC74F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Порядок не регулирует вопросы обращения со следующими видами отходов:</w:t>
      </w:r>
      <w:r>
        <w:rPr>
          <w:rFonts w:ascii="Arial" w:hAnsi="Arial" w:cs="Arial"/>
          <w:color w:val="444444"/>
        </w:rPr>
        <w:br/>
      </w:r>
    </w:p>
    <w:p w14:paraId="469108CD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0B77EA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промышленные отходы;</w:t>
      </w:r>
      <w:r>
        <w:rPr>
          <w:rFonts w:ascii="Arial" w:hAnsi="Arial" w:cs="Arial"/>
          <w:color w:val="444444"/>
        </w:rPr>
        <w:br/>
      </w:r>
    </w:p>
    <w:p w14:paraId="640424DF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076930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строительные отходы, образующиеся в результате строительства и капитального ремонта, разрушения зданий и сооружений;</w:t>
      </w:r>
      <w:r>
        <w:rPr>
          <w:rFonts w:ascii="Arial" w:hAnsi="Arial" w:cs="Arial"/>
          <w:color w:val="444444"/>
        </w:rPr>
        <w:br/>
      </w:r>
    </w:p>
    <w:p w14:paraId="4D5B18AC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CE6E34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медицинские и биологические отходы;</w:t>
      </w:r>
      <w:r>
        <w:rPr>
          <w:rFonts w:ascii="Arial" w:hAnsi="Arial" w:cs="Arial"/>
          <w:color w:val="444444"/>
        </w:rPr>
        <w:br/>
      </w:r>
    </w:p>
    <w:p w14:paraId="1C669410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4AF51E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автомобили, их составные части, в том числе автомобильные покрышки;</w:t>
      </w:r>
      <w:r>
        <w:rPr>
          <w:rFonts w:ascii="Arial" w:hAnsi="Arial" w:cs="Arial"/>
          <w:color w:val="444444"/>
        </w:rPr>
        <w:br/>
      </w:r>
    </w:p>
    <w:p w14:paraId="24AA486E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A97735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отходы сбора и обработки сточных вод;</w:t>
      </w:r>
      <w:r>
        <w:rPr>
          <w:rFonts w:ascii="Arial" w:hAnsi="Arial" w:cs="Arial"/>
          <w:color w:val="444444"/>
        </w:rPr>
        <w:br/>
      </w:r>
    </w:p>
    <w:p w14:paraId="074EFE87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874573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жидкие бытовые отходы, в том числе содержимое септиков и выгребных ям.</w:t>
      </w:r>
      <w:r>
        <w:rPr>
          <w:rFonts w:ascii="Arial" w:hAnsi="Arial" w:cs="Arial"/>
          <w:color w:val="444444"/>
        </w:rPr>
        <w:br/>
      </w:r>
    </w:p>
    <w:p w14:paraId="6C8046C2" w14:textId="77777777" w:rsidR="00115DBD" w:rsidRDefault="00115DBD" w:rsidP="00115DB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2. Накопление ТКО</w:t>
      </w:r>
    </w:p>
    <w:p w14:paraId="10277598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D6F819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Накопление, в том числе раздельное, ТКО осуществляется:</w:t>
      </w:r>
      <w:r>
        <w:rPr>
          <w:rFonts w:ascii="Arial" w:hAnsi="Arial" w:cs="Arial"/>
          <w:color w:val="444444"/>
        </w:rPr>
        <w:br/>
      </w:r>
    </w:p>
    <w:p w14:paraId="55F8B38B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0CBAE1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2.1.1. В контейнеры, бункеры, расположенные на контейнерных площадках.</w:t>
      </w:r>
      <w:r>
        <w:rPr>
          <w:rFonts w:ascii="Arial" w:hAnsi="Arial" w:cs="Arial"/>
          <w:color w:val="444444"/>
        </w:rPr>
        <w:br/>
      </w:r>
    </w:p>
    <w:p w14:paraId="206A2C59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34074F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2.1.2. В контейнеры, расположенные в мусороприемных камерах (при наличии соответствующей внутридомовой инженерной системы).</w:t>
      </w:r>
      <w:r>
        <w:rPr>
          <w:rFonts w:ascii="Arial" w:hAnsi="Arial" w:cs="Arial"/>
          <w:color w:val="444444"/>
        </w:rPr>
        <w:br/>
      </w:r>
    </w:p>
    <w:p w14:paraId="7B092548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E83537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2.1.3. На площадках для складирования крупногабаритных отходов (далее - КГО), в том числе предусмотренных в составе контейнерной площадки.</w:t>
      </w:r>
      <w:r>
        <w:rPr>
          <w:rFonts w:ascii="Arial" w:hAnsi="Arial" w:cs="Arial"/>
          <w:color w:val="444444"/>
        </w:rPr>
        <w:br/>
      </w:r>
    </w:p>
    <w:p w14:paraId="6F4E54C5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1708F2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2.1.4.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2DBEFDAA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161CC1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Накопление ТКО в контейнеры, бункеры, расположенные на контейнерных площадках.</w:t>
      </w:r>
      <w:r>
        <w:rPr>
          <w:rFonts w:ascii="Arial" w:hAnsi="Arial" w:cs="Arial"/>
          <w:color w:val="444444"/>
        </w:rPr>
        <w:br/>
      </w:r>
    </w:p>
    <w:p w14:paraId="5259E237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484A78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2.2.1. Физические лица осуществляют накопление ТКО на контейнерных площадках в целях обеспечения региональным оператором по обращению с ТКО дальнейшего их транспортирования для утилизации, обработки, обезвреживания, размещения.</w:t>
      </w:r>
      <w:r>
        <w:rPr>
          <w:rFonts w:ascii="Arial" w:hAnsi="Arial" w:cs="Arial"/>
          <w:color w:val="444444"/>
        </w:rPr>
        <w:br/>
      </w:r>
    </w:p>
    <w:p w14:paraId="395DCC6A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77CAC9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2.2.2. Места расположения контейнерных площадок определяет глава муниципального образования город Нефтеюганск в соответствии с требованиями СанПиН 42-128-4690-88 "Санитарные правила содержания территорий населенных мест", утвержденными Главным государственным санитарным врачом СССР 5 августа 1988 года N 4690-88, и вносит в реестр мест (площадок) накопления ТКО, ведение которого осуществляет в соответствии с постановлением Правительства Российской Федерации от 31 августа 2018 года N 1039 "Об утверждении Правил обустройства мест (площадок) накопления твердых коммунальных отходов и ведения их реестра".</w:t>
      </w:r>
      <w:r>
        <w:rPr>
          <w:rFonts w:ascii="Arial" w:hAnsi="Arial" w:cs="Arial"/>
          <w:color w:val="444444"/>
        </w:rPr>
        <w:br/>
      </w:r>
    </w:p>
    <w:p w14:paraId="34AB576A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45418B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2.2.3. Реестр мест (площадок) накопления ТКО размещен на официальном сайте органов местного самоуправления города Нефтеюганска в информационно-телекоммуникационной сети Интернет по адресу: http://www.admugansk.ru/ и в Территориальной информационной системе автономного округа (ТИС Югры).</w:t>
      </w:r>
      <w:r>
        <w:rPr>
          <w:rFonts w:ascii="Arial" w:hAnsi="Arial" w:cs="Arial"/>
          <w:color w:val="444444"/>
        </w:rPr>
        <w:br/>
      </w:r>
    </w:p>
    <w:p w14:paraId="77F048A2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1F7892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2.2.4. Глава муниципального образования город Нефтеюганск принимает решение по вопросам организации накопления ТКО на основании мнения граждан.</w:t>
      </w:r>
      <w:r>
        <w:rPr>
          <w:rFonts w:ascii="Arial" w:hAnsi="Arial" w:cs="Arial"/>
          <w:color w:val="444444"/>
        </w:rPr>
        <w:br/>
      </w:r>
    </w:p>
    <w:p w14:paraId="4A614D7C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E65CBA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Накопление ТКО в контейнеры, расположенные в мусороприемных камерах (при наличии соответствующей внутридомовой инженерной системы).</w:t>
      </w:r>
      <w:r>
        <w:rPr>
          <w:rFonts w:ascii="Arial" w:hAnsi="Arial" w:cs="Arial"/>
          <w:color w:val="444444"/>
        </w:rPr>
        <w:br/>
      </w:r>
    </w:p>
    <w:p w14:paraId="4D7FF468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D01365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2.3.1. Мусоропровод, мусороприемные камеры и контейнеры для накопления ТКО в мусороприемных камерах должны содержаться в соответствии с требованиями СанПиН 2.1.2.2645-10 "Санитарно-эпидемиологические требования к условиям проживания в жилых зданиях и помещениях. Санитарно-</w:t>
      </w:r>
      <w:r>
        <w:rPr>
          <w:rFonts w:ascii="Arial" w:hAnsi="Arial" w:cs="Arial"/>
          <w:color w:val="444444"/>
        </w:rPr>
        <w:lastRenderedPageBreak/>
        <w:t>эпидемиологические правила и нормативы" (постановление Главного государственного санитарного врача Российской Федерации от 10 июня 2010 года N 64), СанПиН 42-128-4690-88 "Санитарные правила содержания территорий населенных мест", утвержденными Главным государственным санитарным врачом СССР 5 августа 1988 года N 4690-88.</w:t>
      </w:r>
      <w:r>
        <w:rPr>
          <w:rFonts w:ascii="Arial" w:hAnsi="Arial" w:cs="Arial"/>
          <w:color w:val="444444"/>
        </w:rPr>
        <w:br/>
      </w:r>
    </w:p>
    <w:p w14:paraId="0984ECD3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7E1A0B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2.3.2. При осуществлении раздельного накопления ТКО в многоквартирных жилых домах, оборудованных мусоропроводами, накопление опасных отходов и вторичного сырья осуществляется в соответствующих контейнерах, расположенных на контейнерных площадках.</w:t>
      </w:r>
      <w:r>
        <w:rPr>
          <w:rFonts w:ascii="Arial" w:hAnsi="Arial" w:cs="Arial"/>
          <w:color w:val="444444"/>
        </w:rPr>
        <w:br/>
      </w:r>
    </w:p>
    <w:p w14:paraId="3FB9E519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96C666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2.3.3. Содержание и ремонт мусоропроводов, выгрузка отходов из мусороприемных камер обеспечиваются за счет управляющей организации либо собственников помещений при непосредственном управлении многоквартирным домом в соответствии с требованиями санитарных правил.</w:t>
      </w:r>
      <w:r>
        <w:rPr>
          <w:rFonts w:ascii="Arial" w:hAnsi="Arial" w:cs="Arial"/>
          <w:color w:val="444444"/>
        </w:rPr>
        <w:br/>
      </w:r>
    </w:p>
    <w:p w14:paraId="08461A7D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72E250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Накопление ТКО на площадках для складирования КГО, в том числе предусмотренных в составе контейнерной площадки.</w:t>
      </w:r>
      <w:r>
        <w:rPr>
          <w:rFonts w:ascii="Arial" w:hAnsi="Arial" w:cs="Arial"/>
          <w:color w:val="444444"/>
        </w:rPr>
        <w:br/>
      </w:r>
    </w:p>
    <w:p w14:paraId="4660D3AE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A59208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2.4.1.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>
        <w:rPr>
          <w:rFonts w:ascii="Arial" w:hAnsi="Arial" w:cs="Arial"/>
          <w:color w:val="444444"/>
        </w:rPr>
        <w:t>в частности,</w:t>
      </w:r>
      <w:proofErr w:type="gramEnd"/>
      <w:r>
        <w:rPr>
          <w:rFonts w:ascii="Arial" w:hAnsi="Arial" w:cs="Arial"/>
          <w:color w:val="444444"/>
        </w:rPr>
        <w:t xml:space="preserve"> предметы мебели должны быть в разобранном состоянии и не создавать угроз для целостности и технической исправности специализированного транспорта для перевозки ТКО.</w:t>
      </w:r>
      <w:r>
        <w:rPr>
          <w:rFonts w:ascii="Arial" w:hAnsi="Arial" w:cs="Arial"/>
          <w:color w:val="444444"/>
        </w:rPr>
        <w:br/>
      </w:r>
    </w:p>
    <w:p w14:paraId="69DFEBE2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693908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2.4.2. КГО не должны быть смешаны с другими отходами.</w:t>
      </w:r>
      <w:r>
        <w:rPr>
          <w:rFonts w:ascii="Arial" w:hAnsi="Arial" w:cs="Arial"/>
          <w:color w:val="444444"/>
        </w:rPr>
        <w:br/>
      </w:r>
    </w:p>
    <w:p w14:paraId="35BDD261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3CB159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Накопление ТКО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096C8292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D9C959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2.5.1. Накопление ТКО допускается осуществлять без контейнеров, с использованием пакетов или других емкостей, отвечающих требованиям обеспечения санитарно-эпидемиологического благополучия населения.</w:t>
      </w:r>
      <w:r>
        <w:rPr>
          <w:rFonts w:ascii="Arial" w:hAnsi="Arial" w:cs="Arial"/>
          <w:color w:val="444444"/>
        </w:rPr>
        <w:br/>
      </w:r>
    </w:p>
    <w:p w14:paraId="180E188D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D09C0E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2.5.2. Предоставление собственникам ТКО пакетов или других емкостей для накопления ТКО осуществляет региональный оператор по обращению с ТКО в соответствии с договором на оказание услуг по обращению с ТКО, заключенным им с собственниками ТКО (далее - Договор).</w:t>
      </w:r>
      <w:r>
        <w:rPr>
          <w:rFonts w:ascii="Arial" w:hAnsi="Arial" w:cs="Arial"/>
          <w:color w:val="444444"/>
        </w:rPr>
        <w:br/>
      </w:r>
    </w:p>
    <w:p w14:paraId="30FFC630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62F813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2.5.3. ТКО, размещаемые в пакетах или других емкостях, не должны превышать величины, установленной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72D3EC88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26125F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2.5.4. График и время сбора ТКО для дальнейшего транспортирования определяется условиями Договора.</w:t>
      </w:r>
      <w:r>
        <w:rPr>
          <w:rFonts w:ascii="Arial" w:hAnsi="Arial" w:cs="Arial"/>
          <w:color w:val="444444"/>
        </w:rPr>
        <w:br/>
      </w:r>
    </w:p>
    <w:p w14:paraId="1A9B8ED2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C2CCA1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 Накопление опасных отходов.</w:t>
      </w:r>
      <w:r>
        <w:rPr>
          <w:rFonts w:ascii="Arial" w:hAnsi="Arial" w:cs="Arial"/>
          <w:color w:val="444444"/>
        </w:rPr>
        <w:br/>
      </w:r>
    </w:p>
    <w:p w14:paraId="38311B20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EA5DE9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2.6.1. Для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 с учетом обеспечения невозможности их опрокидывания или перемещения.</w:t>
      </w:r>
      <w:r>
        <w:rPr>
          <w:rFonts w:ascii="Arial" w:hAnsi="Arial" w:cs="Arial"/>
          <w:color w:val="444444"/>
        </w:rPr>
        <w:br/>
      </w:r>
    </w:p>
    <w:p w14:paraId="102191D5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E45837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2.6.2. Накопление опасных отходов должно выполняться методами, исключающими их бой и разгерметизацию. Количество контейнеров для накопления опасных отходов должно исходить из расчета не менее одного контейнера на двадцать тысяч квадратных метров жилого фонда.</w:t>
      </w:r>
      <w:r>
        <w:rPr>
          <w:rFonts w:ascii="Arial" w:hAnsi="Arial" w:cs="Arial"/>
          <w:color w:val="444444"/>
        </w:rPr>
        <w:br/>
      </w:r>
    </w:p>
    <w:p w14:paraId="3D192CE4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DC0ADC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2.6.3. Информация о местах приема опасных отходов размещена на официальном сайте органов местного самоуправления города Нефтеюганска в информационно-телекоммуникационной сети Интернет по адресу: http://www.admugansk.ru/.</w:t>
      </w:r>
      <w:r>
        <w:rPr>
          <w:rFonts w:ascii="Arial" w:hAnsi="Arial" w:cs="Arial"/>
          <w:color w:val="444444"/>
        </w:rPr>
        <w:br/>
      </w:r>
    </w:p>
    <w:p w14:paraId="59996034" w14:textId="77777777" w:rsidR="00115DBD" w:rsidRDefault="00115DBD" w:rsidP="00115DB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3. Требования к организации контейнерных площадок</w:t>
      </w:r>
    </w:p>
    <w:p w14:paraId="6C0C9343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7A7284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Требования к организации контейнерной площадки установлены постановлением Правительства автономного округа от 11 июля 2019 года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>
        <w:rPr>
          <w:rFonts w:ascii="Arial" w:hAnsi="Arial" w:cs="Arial"/>
          <w:color w:val="444444"/>
        </w:rPr>
        <w:br/>
      </w:r>
    </w:p>
    <w:p w14:paraId="2988117D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13B296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Контейнерные площадки располагаются в соответствии с подпунктами 2.2.2, 2.2.3 пункта 2.2 раздела 2 настоящего Порядка на твердом, прочном, водонепроницаемом, легко очищаемом покрытии, которое способно обеспечивать установку и выкатывание контейнеров без повреждения. Контейнерные площадки должны иметь с трех сторон ограждение, навес, в случае отсутствия которого необходимо оборудовать контейнеры крышками (за исключением заглубленных контейнеров).</w:t>
      </w:r>
      <w:r>
        <w:rPr>
          <w:rFonts w:ascii="Arial" w:hAnsi="Arial" w:cs="Arial"/>
          <w:color w:val="444444"/>
        </w:rPr>
        <w:br/>
      </w:r>
    </w:p>
    <w:p w14:paraId="62B71DF3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04DDFA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Лица, осуществляющие управление многоквартирными домами обязаны организовать и содержать в установленном порядке места (площадки) накопления </w:t>
      </w:r>
      <w:r>
        <w:rPr>
          <w:rFonts w:ascii="Arial" w:hAnsi="Arial" w:cs="Arial"/>
          <w:color w:val="444444"/>
        </w:rPr>
        <w:lastRenderedPageBreak/>
        <w:t>ТКО.</w:t>
      </w:r>
      <w:r>
        <w:rPr>
          <w:rFonts w:ascii="Arial" w:hAnsi="Arial" w:cs="Arial"/>
          <w:color w:val="444444"/>
        </w:rPr>
        <w:br/>
      </w:r>
    </w:p>
    <w:p w14:paraId="23C48C79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4DD0D4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Контейнерные площадки должны очищаться от снега и льда, ТКО, размещенных за пределами контейнеров. Собственники контейнерных площадок, специальных площадок для складирования крупногабаритных отходов, или лица, ответственные за их содержание, обязаны обеспечивать проведение промывки и дезинфекции контейнеров, а также уборку, дезинфекцию и дератизацию контейнерных площадок.</w:t>
      </w:r>
      <w:r>
        <w:rPr>
          <w:rFonts w:ascii="Arial" w:hAnsi="Arial" w:cs="Arial"/>
          <w:color w:val="444444"/>
        </w:rPr>
        <w:br/>
      </w:r>
    </w:p>
    <w:p w14:paraId="32512ACF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E42036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Подъездные пути к контейнерным площадкам в целях вывоза ТКО должны содержаться свободными.</w:t>
      </w:r>
      <w:r>
        <w:rPr>
          <w:rFonts w:ascii="Arial" w:hAnsi="Arial" w:cs="Arial"/>
          <w:color w:val="444444"/>
        </w:rPr>
        <w:br/>
      </w:r>
    </w:p>
    <w:p w14:paraId="40B4AFBA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C65300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Собственники контейнерных площадок или лица, ответственные за их содержание обязаны обеспечить контейнерные площадки информационными щитами с указанием контактов регионального оператора по обращению с ТКО, собственника контейнерной площадки, графика вывоза ТКО, сведений об обслуживаемых объектах.</w:t>
      </w:r>
      <w:r>
        <w:rPr>
          <w:rFonts w:ascii="Arial" w:hAnsi="Arial" w:cs="Arial"/>
          <w:color w:val="444444"/>
        </w:rPr>
        <w:br/>
      </w:r>
    </w:p>
    <w:p w14:paraId="496B1E6F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7B76D8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Для накопления ТКО используются контейнеры, изготовленные из пластика или металла.</w:t>
      </w:r>
      <w:r>
        <w:rPr>
          <w:rFonts w:ascii="Arial" w:hAnsi="Arial" w:cs="Arial"/>
          <w:color w:val="444444"/>
        </w:rPr>
        <w:br/>
      </w:r>
    </w:p>
    <w:p w14:paraId="748B133C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6DCBAD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Контейнеры не должны заполняться выше верхней кромки, запрещается прессовать и уплотнять отходы в контейнере.</w:t>
      </w:r>
      <w:r>
        <w:rPr>
          <w:rFonts w:ascii="Arial" w:hAnsi="Arial" w:cs="Arial"/>
          <w:color w:val="444444"/>
        </w:rPr>
        <w:br/>
      </w:r>
    </w:p>
    <w:p w14:paraId="0D2B6E76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396AB3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контейнеры запрещается складировать горящие, раскаленные или горячие отходы, крупногабаритные отходы, снег и лед, осветительные приборы и электрические лампы, содержащие ртуть, батареи и аккумуляторы, медицинские отходы, а также иные отходы, которые могут причинить вред жизни и здоровью лиц, осуществляющих погрузку (разгрузку) контейнеров, повредить контейнеры, специализированный транспорт для перевозки ТКО или нарушить режим работы объектов по обработке, обезвреживанию, захоронению ТКО.</w:t>
      </w:r>
      <w:r>
        <w:rPr>
          <w:rFonts w:ascii="Arial" w:hAnsi="Arial" w:cs="Arial"/>
          <w:color w:val="444444"/>
        </w:rPr>
        <w:br/>
      </w:r>
    </w:p>
    <w:p w14:paraId="73BF39F4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1F392F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 Объем контейнеров и их количество на контейнерных площадках, необходимое для накопления ТКО, образуемых физическими лицами, определяется исходя из количества жителей и нормативов накопления ТКО в соответствии с реестром мест (площадок) накопления ТКО.</w:t>
      </w:r>
      <w:r>
        <w:rPr>
          <w:rFonts w:ascii="Arial" w:hAnsi="Arial" w:cs="Arial"/>
          <w:color w:val="444444"/>
        </w:rPr>
        <w:br/>
      </w:r>
    </w:p>
    <w:p w14:paraId="6AE17725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A4B3AF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 На контейнерных площадках должно быть не более 10 контейнеров для накопления ТКО, в том числе для раздельного накопления ТКО.</w:t>
      </w:r>
      <w:r>
        <w:rPr>
          <w:rFonts w:ascii="Arial" w:hAnsi="Arial" w:cs="Arial"/>
          <w:color w:val="444444"/>
        </w:rPr>
        <w:br/>
      </w:r>
    </w:p>
    <w:p w14:paraId="578E3A7B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666ED5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3.8. Юридические лица и индивидуальные предприниматели, в результате деятельности которых образуются ТКО, вправе обустраивать контейнерные площадки на земельных участках, находящихся в их владении на праве </w:t>
      </w:r>
      <w:r>
        <w:rPr>
          <w:rFonts w:ascii="Arial" w:hAnsi="Arial" w:cs="Arial"/>
          <w:color w:val="444444"/>
        </w:rPr>
        <w:lastRenderedPageBreak/>
        <w:t>собственности, договора аренды или иных установленных законодательством Российской Федерации основаниях в соответствии подпунктами 2.2.2, 2.2.3 пункта 2.2 раздела 2 настоящего Порядка.</w:t>
      </w:r>
      <w:r>
        <w:rPr>
          <w:rFonts w:ascii="Arial" w:hAnsi="Arial" w:cs="Arial"/>
          <w:color w:val="444444"/>
        </w:rPr>
        <w:br/>
      </w:r>
    </w:p>
    <w:p w14:paraId="22B6954E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8AA674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3.9. Приобретение контейнеров и бункеров для накопления ТКО осуществляют собственники контейнерных площадок.</w:t>
      </w:r>
      <w:r>
        <w:rPr>
          <w:rFonts w:ascii="Arial" w:hAnsi="Arial" w:cs="Arial"/>
          <w:color w:val="444444"/>
        </w:rPr>
        <w:br/>
      </w:r>
    </w:p>
    <w:p w14:paraId="4F20972B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541D18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3.10. Срок использования контейнеров определяет производитель, необходимость замены контейнеров согласовывается с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25ECFEB5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F42931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3.11. Региональный оператор несет ответственность за обращение с ТКО с момента погрузки отходов в мусоровоз. Уборка мест погрузки ТКО осуществляется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24DD0290" w14:textId="77777777" w:rsidR="00115DBD" w:rsidRDefault="00115DBD" w:rsidP="00115DB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4. Раздельное накопление ТКО</w:t>
      </w:r>
    </w:p>
    <w:p w14:paraId="4DB805E9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C78CF2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Раздельное накопление ТКО организует глава муниципального образования город Нефтеюганск.</w:t>
      </w:r>
      <w:r>
        <w:rPr>
          <w:rFonts w:ascii="Arial" w:hAnsi="Arial" w:cs="Arial"/>
          <w:color w:val="444444"/>
        </w:rPr>
        <w:br/>
      </w:r>
    </w:p>
    <w:p w14:paraId="2D76D677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0E4FB3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Для организации раздельного накопления ТКО в зонах деятельности объектов по обработке ТКО используются контейнеры с цветовой индикацией трех видов:</w:t>
      </w:r>
      <w:r>
        <w:rPr>
          <w:rFonts w:ascii="Arial" w:hAnsi="Arial" w:cs="Arial"/>
          <w:color w:val="444444"/>
        </w:rPr>
        <w:br/>
      </w:r>
    </w:p>
    <w:p w14:paraId="17144FE9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4A54DF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 - 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1BA69D78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F3CFBF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 - смешанные сухие отходы;</w:t>
      </w:r>
      <w:r>
        <w:rPr>
          <w:rFonts w:ascii="Arial" w:hAnsi="Arial" w:cs="Arial"/>
          <w:color w:val="444444"/>
        </w:rPr>
        <w:br/>
      </w:r>
    </w:p>
    <w:p w14:paraId="6175BED8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274E90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 - опасные отходы.</w:t>
      </w:r>
      <w:r>
        <w:rPr>
          <w:rFonts w:ascii="Arial" w:hAnsi="Arial" w:cs="Arial"/>
          <w:color w:val="444444"/>
        </w:rPr>
        <w:br/>
      </w:r>
    </w:p>
    <w:p w14:paraId="67FDF24E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458E41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Для организации раздельного накопления ТКО используются контейнеры с цветовой индикацией следующих видов:</w:t>
      </w:r>
      <w:r>
        <w:rPr>
          <w:rFonts w:ascii="Arial" w:hAnsi="Arial" w:cs="Arial"/>
          <w:color w:val="444444"/>
        </w:rPr>
        <w:br/>
      </w:r>
    </w:p>
    <w:p w14:paraId="4B6F0704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6CEF27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оранжевый - пластик;</w:t>
      </w:r>
      <w:r>
        <w:rPr>
          <w:rFonts w:ascii="Arial" w:hAnsi="Arial" w:cs="Arial"/>
          <w:color w:val="444444"/>
        </w:rPr>
        <w:br/>
      </w:r>
    </w:p>
    <w:p w14:paraId="571FAF0A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8B06D8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зеленый - стекло;</w:t>
      </w:r>
      <w:r>
        <w:rPr>
          <w:rFonts w:ascii="Arial" w:hAnsi="Arial" w:cs="Arial"/>
          <w:color w:val="444444"/>
        </w:rPr>
        <w:br/>
      </w:r>
    </w:p>
    <w:p w14:paraId="7192821A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96268B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 - бумага и картон;</w:t>
      </w:r>
      <w:r>
        <w:rPr>
          <w:rFonts w:ascii="Arial" w:hAnsi="Arial" w:cs="Arial"/>
          <w:color w:val="444444"/>
        </w:rPr>
        <w:br/>
      </w:r>
    </w:p>
    <w:p w14:paraId="47516927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3BE206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желтый - металл;</w:t>
      </w:r>
      <w:r>
        <w:rPr>
          <w:rFonts w:ascii="Arial" w:hAnsi="Arial" w:cs="Arial"/>
          <w:color w:val="444444"/>
        </w:rPr>
        <w:br/>
      </w:r>
    </w:p>
    <w:p w14:paraId="295AC664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79A560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 - 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47CA0C72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4C5093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 - опасные отходы.</w:t>
      </w:r>
      <w:r>
        <w:rPr>
          <w:rFonts w:ascii="Arial" w:hAnsi="Arial" w:cs="Arial"/>
          <w:color w:val="444444"/>
        </w:rPr>
        <w:br/>
      </w:r>
    </w:p>
    <w:p w14:paraId="63BBE51A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50FE26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Для организации раздельного накопления ТКО дополнительно используются надписи и графические изображения.</w:t>
      </w:r>
      <w:r>
        <w:rPr>
          <w:rFonts w:ascii="Arial" w:hAnsi="Arial" w:cs="Arial"/>
          <w:color w:val="444444"/>
        </w:rPr>
        <w:br/>
      </w:r>
    </w:p>
    <w:p w14:paraId="5032BA44" w14:textId="77777777" w:rsidR="00115DBD" w:rsidRDefault="00115DBD" w:rsidP="00115DB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5. Ответственность за обустройство и надлежащее содержание контейнерных площадок, приобретение контейнеров для накопления ТКО</w:t>
      </w:r>
    </w:p>
    <w:p w14:paraId="4520A0F7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CBEA8A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Ответственность за обустройство и надлежащее содержание контейнерных площадок несет собственник контейнерной площадки: глава муниципального образования город Нефтеюганск; управляющие организации, товарищества собственников жилья, жилищные кооперативы или иные специализированные потребительские кооперативы либо непосредственно собственники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законодательства.</w:t>
      </w:r>
      <w:r>
        <w:rPr>
          <w:rFonts w:ascii="Arial" w:hAnsi="Arial" w:cs="Arial"/>
          <w:color w:val="444444"/>
        </w:rPr>
        <w:br/>
      </w:r>
    </w:p>
    <w:p w14:paraId="1CF17C90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445E46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Контроль обустройства и надлежащего содержания контейнерных площадок управляющими организациями, товариществами собственников жилья,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 осуществляет глава муниципального образования город Нефтеюганск.</w:t>
      </w:r>
      <w:r>
        <w:rPr>
          <w:rFonts w:ascii="Arial" w:hAnsi="Arial" w:cs="Arial"/>
          <w:color w:val="444444"/>
        </w:rPr>
        <w:br/>
      </w:r>
    </w:p>
    <w:p w14:paraId="14E1ABF4" w14:textId="77777777" w:rsidR="00115DBD" w:rsidRDefault="00115DBD" w:rsidP="00115DB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6. Заключительные положения</w:t>
      </w:r>
    </w:p>
    <w:p w14:paraId="308E6152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384AAC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Ответственность за нарушение порядка накопления ТКО, в том числе раздельного накопления.</w:t>
      </w:r>
      <w:r>
        <w:rPr>
          <w:rFonts w:ascii="Arial" w:hAnsi="Arial" w:cs="Arial"/>
          <w:color w:val="444444"/>
        </w:rPr>
        <w:br/>
      </w:r>
    </w:p>
    <w:p w14:paraId="4795980D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F71652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 неисполнение или ненадлежащее исполнение настоящего Порядка юридические лица, должностные лица, индивидуальные предприниматели и физические лица несут ответственность в соответствии с законодательством Российской Федерации и законодательством Ханты-Мансийского автономного </w:t>
      </w:r>
      <w:r>
        <w:rPr>
          <w:rFonts w:ascii="Arial" w:hAnsi="Arial" w:cs="Arial"/>
          <w:color w:val="444444"/>
        </w:rPr>
        <w:lastRenderedPageBreak/>
        <w:t>округа - Югры.</w:t>
      </w:r>
      <w:r>
        <w:rPr>
          <w:rFonts w:ascii="Arial" w:hAnsi="Arial" w:cs="Arial"/>
          <w:color w:val="444444"/>
        </w:rPr>
        <w:br/>
      </w:r>
    </w:p>
    <w:p w14:paraId="32201B56" w14:textId="77777777" w:rsidR="00115DBD" w:rsidRDefault="00115DBD" w:rsidP="00115DB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C57A07" w14:textId="77777777" w:rsidR="00115DBD" w:rsidRDefault="00115DBD" w:rsidP="00115D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6.2. Информирование граждан и юридических лиц о Порядке накопления твердых коммунальных отходов (в том числе раздельного накопления) на территории муниципального образования город Нефтеюганск, ответственности за его нарушения, о пунктах приема опасных отходов и вторичного сырья осуществляется путем размещения указанной информации в печатных средствах массовой информации, в информационно-телекоммуникационной сети Интернет, на официальном сайте органов местного самоуправления города Нефтеюганска.</w:t>
      </w:r>
    </w:p>
    <w:p w14:paraId="76E71277" w14:textId="77777777" w:rsidR="00115DBD" w:rsidRDefault="00115DBD" w:rsidP="00115DBD">
      <w:pPr>
        <w:rPr>
          <w:szCs w:val="24"/>
        </w:rPr>
      </w:pPr>
    </w:p>
    <w:p w14:paraId="2D5C866D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15DB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115D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115D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15DB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15DB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115D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115D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