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7B90E8" w14:textId="77777777" w:rsidR="00F97917" w:rsidRDefault="00F97917" w:rsidP="00F979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</w:t>
      </w:r>
      <w:r>
        <w:rPr>
          <w:rFonts w:ascii="Arial" w:hAnsi="Arial" w:cs="Arial"/>
          <w:b/>
          <w:bCs/>
          <w:color w:val="444444"/>
        </w:rPr>
        <w:br/>
        <w:t>ЯМАЛО-НЕНЕЦКОГО АВТОНОМНОГО ОКРУГА</w:t>
      </w:r>
    </w:p>
    <w:p w14:paraId="1972D925" w14:textId="77777777" w:rsidR="00F97917" w:rsidRDefault="00F97917" w:rsidP="00F979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66011125" w14:textId="77777777" w:rsidR="00F97917" w:rsidRDefault="00F97917" w:rsidP="00F979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18 октября 2010 года N 660</w:t>
      </w:r>
      <w:r>
        <w:rPr>
          <w:rFonts w:ascii="Arial" w:hAnsi="Arial" w:cs="Arial"/>
          <w:b/>
          <w:bCs/>
          <w:color w:val="444444"/>
        </w:rPr>
        <w:br/>
      </w:r>
    </w:p>
    <w:p w14:paraId="51FB94D4" w14:textId="77777777" w:rsidR="00F97917" w:rsidRDefault="00F97917" w:rsidP="00F979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рассмотрения и утверждения департаментом природно-ресурсного регулирования, лесных отношений и развития нефтегазового комплекса Ямало-Ненецкого автономного округа проектов округов и зон санитарной охраны водных объектов, используемых для питьевого, хозяйственно-бытового водоснабжения и в лечебных целях</w:t>
      </w:r>
    </w:p>
    <w:p w14:paraId="3B89616E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18 Федерального закона от 30 марта 1999 года N 52-ФЗ "О санитарно-эпидемиологическом благополучии населения", абзацем 13 положения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утвержденного постановлением Губернатора Ямало-Ненецкого автономного округа от 6 июля 2009 года N 83-ПГ "Об утверждении положений некоторых исполнительных органов власти Ямало-Ненецкого автономного округа"</w:t>
      </w:r>
      <w:r>
        <w:rPr>
          <w:rFonts w:ascii="Arial" w:hAnsi="Arial" w:cs="Arial"/>
          <w:color w:val="444444"/>
        </w:rPr>
        <w:br/>
      </w:r>
    </w:p>
    <w:p w14:paraId="206B9FB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5BD9FDE6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Административный регламент рассмотрения и утверждения департаментом природно-ресурсного регулирования, лесных отношений и развития нефтегазового комплекса Ямало-Ненецкого автономного округа проектов округов и зон санитарной охраны водных объектов, используемых для питьевого, хозяйственно-бытового водоснабжения и в лечебных целях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54EE4E06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5534247B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 xml:space="preserve">. Директора департамента </w:t>
      </w:r>
      <w:proofErr w:type="gramStart"/>
      <w:r>
        <w:rPr>
          <w:rFonts w:ascii="Arial" w:hAnsi="Arial" w:cs="Arial"/>
          <w:color w:val="444444"/>
        </w:rPr>
        <w:t>Т.Ф.</w:t>
      </w:r>
      <w:proofErr w:type="gramEnd"/>
      <w:r>
        <w:rPr>
          <w:rFonts w:ascii="Arial" w:hAnsi="Arial" w:cs="Arial"/>
          <w:color w:val="444444"/>
        </w:rPr>
        <w:t xml:space="preserve"> Королева</w:t>
      </w:r>
      <w:r>
        <w:rPr>
          <w:rFonts w:ascii="Arial" w:hAnsi="Arial" w:cs="Arial"/>
          <w:color w:val="444444"/>
        </w:rPr>
        <w:br/>
      </w:r>
    </w:p>
    <w:p w14:paraId="4C685687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18 октября 2010 года N 660</w:t>
      </w:r>
      <w:r>
        <w:rPr>
          <w:rFonts w:ascii="Arial" w:hAnsi="Arial" w:cs="Arial"/>
          <w:color w:val="444444"/>
        </w:rPr>
        <w:br/>
      </w:r>
    </w:p>
    <w:p w14:paraId="59CC5CB2" w14:textId="77777777" w:rsidR="00F97917" w:rsidRDefault="00F97917" w:rsidP="00F9791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</w:t>
      </w:r>
      <w:r>
        <w:rPr>
          <w:rFonts w:ascii="Arial" w:hAnsi="Arial" w:cs="Arial"/>
          <w:color w:val="444444"/>
          <w:sz w:val="24"/>
          <w:szCs w:val="24"/>
        </w:rPr>
        <w:br/>
        <w:t>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</w:t>
      </w:r>
      <w:r>
        <w:rPr>
          <w:rFonts w:ascii="Arial" w:hAnsi="Arial" w:cs="Arial"/>
          <w:color w:val="444444"/>
          <w:sz w:val="24"/>
          <w:szCs w:val="24"/>
        </w:rPr>
        <w:br/>
        <w:t>нефтегазового комплекса Ямало-</w:t>
      </w:r>
      <w:r>
        <w:rPr>
          <w:rFonts w:ascii="Arial" w:hAnsi="Arial" w:cs="Arial"/>
          <w:color w:val="444444"/>
          <w:sz w:val="24"/>
          <w:szCs w:val="24"/>
        </w:rPr>
        <w:br/>
        <w:t>Ненецкого автономного округа</w:t>
      </w:r>
    </w:p>
    <w:p w14:paraId="100D08D6" w14:textId="77777777" w:rsidR="00F97917" w:rsidRDefault="00F97917" w:rsidP="00F979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рассмотрения и утверждения департаментом природно-ресурсного регулирования, лесных отношений и развития нефтегазового комплекса Ямало-Ненецкого автономного округа проектов округов и зон санитарной охраны водных объектов, используемых для питьевого, хозяйственно-бытового водоснабжения и в лечебных целях</w:t>
      </w:r>
    </w:p>
    <w:p w14:paraId="5F18A9FF" w14:textId="77777777" w:rsidR="00F97917" w:rsidRDefault="00F97917" w:rsidP="00F979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1. ОБЩИЕ ПОЛОЖЕНИЯ</w:t>
      </w:r>
    </w:p>
    <w:p w14:paraId="503E7493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0B1C8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Административный регламент рассмотрения и утверждения департаментом природно-ресурсного регулирования, лесных отношений и развития нефтегазового комплекса Ямало-Ненецкого автономного округа (далее - департамент) проектов округов и зон санитарной охраны водных объектов, используемых для питьевого, хозяйственно-бытового водоснабжения и в лечебных целях (далее – Административный регламент) разработан с целью установления порядка рассмотрения и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 (далее – Проекты).</w:t>
      </w:r>
      <w:r>
        <w:rPr>
          <w:rFonts w:ascii="Arial" w:hAnsi="Arial" w:cs="Arial"/>
          <w:color w:val="444444"/>
        </w:rPr>
        <w:br/>
      </w:r>
    </w:p>
    <w:p w14:paraId="5052E4F9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Осуществление государственной функции обеспечивает отдел водного контроля и надзора управления водных ресурсов департамента согласно подпункту 12 пункта 11.3.1 Положения о департаменте, утвержденного постановлением Губернатора Ямало-Ненецкого автономного округа от 6 июля 2009 года N 83-ПГ "Об утверждении положений некоторых исполнительных органов власти Ямало-Ненецкого автономного округа".</w:t>
      </w:r>
      <w:r>
        <w:rPr>
          <w:rFonts w:ascii="Arial" w:hAnsi="Arial" w:cs="Arial"/>
          <w:color w:val="444444"/>
        </w:rPr>
        <w:br/>
      </w:r>
    </w:p>
    <w:p w14:paraId="1727148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Исполнение государственной функции осуществляется в соответствии с нормативными правовыми актами:</w:t>
      </w:r>
      <w:r>
        <w:rPr>
          <w:rFonts w:ascii="Arial" w:hAnsi="Arial" w:cs="Arial"/>
          <w:color w:val="444444"/>
        </w:rPr>
        <w:br/>
      </w:r>
    </w:p>
    <w:p w14:paraId="514C34DF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Федеральным законом от 30.03.1999 N 52-ФЗ "О санитарно-эпидемиологическом благополучии населения";</w:t>
      </w:r>
      <w:r>
        <w:rPr>
          <w:rFonts w:ascii="Arial" w:hAnsi="Arial" w:cs="Arial"/>
          <w:color w:val="444444"/>
        </w:rPr>
        <w:br/>
      </w:r>
    </w:p>
    <w:p w14:paraId="73952C12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постановлением Главного государственного санитарного врача Российской Федерации от 14.03.2002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2.1.4.1110-02";</w:t>
      </w:r>
      <w:r>
        <w:rPr>
          <w:rFonts w:ascii="Arial" w:hAnsi="Arial" w:cs="Arial"/>
          <w:color w:val="444444"/>
        </w:rPr>
        <w:br/>
      </w:r>
    </w:p>
    <w:p w14:paraId="3CC89F4F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Положением о департаменте природно-ресурсного регулирования, лесных отношений и развития нефтегазового комплекса Ямало-Ненецкого автономного округа (далее - департамент), утвержденным постановлением Губернатора Ямало-Ненецкого автономного округа от 06.07.2009 г N 83-ПГ.</w:t>
      </w:r>
      <w:r>
        <w:rPr>
          <w:rFonts w:ascii="Arial" w:hAnsi="Arial" w:cs="Arial"/>
          <w:color w:val="444444"/>
        </w:rPr>
        <w:br/>
      </w:r>
    </w:p>
    <w:p w14:paraId="77945B69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Конечным результатом исполнения государственной функции является: приказ департамента об утверждении проекта округов и границ зон санитарной охраны водных объектов, используемых для питьевого, хозяйственно-бытового водоснабжения и в лечебных целях.</w:t>
      </w:r>
      <w:r>
        <w:rPr>
          <w:rFonts w:ascii="Arial" w:hAnsi="Arial" w:cs="Arial"/>
          <w:color w:val="444444"/>
        </w:rPr>
        <w:br/>
      </w:r>
    </w:p>
    <w:p w14:paraId="1183B073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Проекты зон санитарной охраны водных объектов утверждаются для создания и обеспечения в границах зон санитарной охраны режима хозяйственной и иной деятельности, позволяющего обеспечить сохранность от загрязнения подземных и поверхностных источников водоснабжения и территорий, на которых они расположены.</w:t>
      </w:r>
      <w:r>
        <w:rPr>
          <w:rFonts w:ascii="Arial" w:hAnsi="Arial" w:cs="Arial"/>
          <w:color w:val="444444"/>
        </w:rPr>
        <w:br/>
      </w:r>
    </w:p>
    <w:p w14:paraId="0414F570" w14:textId="77777777" w:rsidR="00F97917" w:rsidRDefault="00F97917" w:rsidP="00F979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ТРЕБОВАНИЯ К ПОРЯДКУ ИСПОЛНЕНИЯ ГОСУДАРСТВЕННОЙ ФУНКЦИИ</w:t>
      </w:r>
    </w:p>
    <w:p w14:paraId="33186C0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F4438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Порядок информирования об организации рассмотрения и утверждения проектов зон санитарной охраны водных объектов, используемых для питьевого и </w:t>
      </w:r>
      <w:r>
        <w:rPr>
          <w:rFonts w:ascii="Arial" w:hAnsi="Arial" w:cs="Arial"/>
          <w:color w:val="444444"/>
        </w:rPr>
        <w:lastRenderedPageBreak/>
        <w:t>хозяйственно-бытового водоснабжения и в лечебных целях.</w:t>
      </w:r>
      <w:r>
        <w:rPr>
          <w:rFonts w:ascii="Arial" w:hAnsi="Arial" w:cs="Arial"/>
          <w:color w:val="444444"/>
        </w:rPr>
        <w:br/>
      </w:r>
    </w:p>
    <w:p w14:paraId="17D01BE4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Сведения о порядке рассмотрения и утверждения проектов зон санитарной охраны водных объектов предоставляются заявителю по адресу: 629008, Ямало-Ненецкий автономный округ, город Салехард, ул. Матросова, дом 29, кабинет 101, а также по телефону (34922) 4-65-64.</w:t>
      </w:r>
      <w:r>
        <w:rPr>
          <w:rFonts w:ascii="Arial" w:hAnsi="Arial" w:cs="Arial"/>
          <w:color w:val="444444"/>
        </w:rPr>
        <w:br/>
      </w:r>
    </w:p>
    <w:p w14:paraId="25CABEF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работы:</w:t>
      </w:r>
      <w:r>
        <w:rPr>
          <w:rFonts w:ascii="Arial" w:hAnsi="Arial" w:cs="Arial"/>
          <w:color w:val="444444"/>
        </w:rPr>
        <w:br/>
      </w:r>
    </w:p>
    <w:p w14:paraId="6E0DBC7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понедельник с 8.30 до 18 часов,</w:t>
      </w:r>
      <w:r>
        <w:rPr>
          <w:rFonts w:ascii="Arial" w:hAnsi="Arial" w:cs="Arial"/>
          <w:color w:val="444444"/>
        </w:rPr>
        <w:br/>
      </w:r>
    </w:p>
    <w:p w14:paraId="2004D35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вторник - пятница с 8.30 до 17 часов,</w:t>
      </w:r>
      <w:r>
        <w:rPr>
          <w:rFonts w:ascii="Arial" w:hAnsi="Arial" w:cs="Arial"/>
          <w:color w:val="444444"/>
        </w:rPr>
        <w:br/>
      </w:r>
    </w:p>
    <w:p w14:paraId="742B7E0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перерыв с 12.30 до 14 часов,</w:t>
      </w:r>
      <w:r>
        <w:rPr>
          <w:rFonts w:ascii="Arial" w:hAnsi="Arial" w:cs="Arial"/>
          <w:color w:val="444444"/>
        </w:rPr>
        <w:br/>
      </w:r>
    </w:p>
    <w:p w14:paraId="438F9855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суббота, воскресенье - выходные дни.</w:t>
      </w:r>
      <w:r>
        <w:rPr>
          <w:rFonts w:ascii="Arial" w:hAnsi="Arial" w:cs="Arial"/>
          <w:color w:val="444444"/>
        </w:rPr>
        <w:br/>
      </w:r>
    </w:p>
    <w:p w14:paraId="76D3C606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Физическое лицо, юридическое лицо или индивидуальный предприниматель, заинтересованные в утверждении проектов зон санитарной охраны водных объектов, обращаются в департамент с заявлением об утверждении проектов зон санитарной охраны водных объектов, которое регистрируется в установленном порядке. Заявление подается в произвольной форме.</w:t>
      </w:r>
      <w:r>
        <w:rPr>
          <w:rFonts w:ascii="Arial" w:hAnsi="Arial" w:cs="Arial"/>
          <w:color w:val="444444"/>
        </w:rPr>
        <w:br/>
      </w:r>
    </w:p>
    <w:p w14:paraId="3560C985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Перечень прилагаемых к заявлению (сопроводительному письму) документов:</w:t>
      </w:r>
      <w:r>
        <w:rPr>
          <w:rFonts w:ascii="Arial" w:hAnsi="Arial" w:cs="Arial"/>
          <w:color w:val="444444"/>
        </w:rPr>
        <w:br/>
      </w:r>
    </w:p>
    <w:p w14:paraId="5D1FB82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лицензия на право пользования недрами (при подземном источнике водоснабжения);</w:t>
      </w:r>
      <w:r>
        <w:rPr>
          <w:rFonts w:ascii="Arial" w:hAnsi="Arial" w:cs="Arial"/>
          <w:color w:val="444444"/>
        </w:rPr>
        <w:br/>
      </w:r>
    </w:p>
    <w:p w14:paraId="24E96D6B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договор водопользования или лицензия на водопользование (при поверхностном источнике водоснабжения);</w:t>
      </w:r>
      <w:r>
        <w:rPr>
          <w:rFonts w:ascii="Arial" w:hAnsi="Arial" w:cs="Arial"/>
          <w:color w:val="444444"/>
        </w:rPr>
        <w:br/>
      </w:r>
    </w:p>
    <w:p w14:paraId="2A1757E5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проект зон санитарной охраны водного объекта;</w:t>
      </w:r>
      <w:r>
        <w:rPr>
          <w:rFonts w:ascii="Arial" w:hAnsi="Arial" w:cs="Arial"/>
          <w:color w:val="444444"/>
        </w:rPr>
        <w:br/>
      </w:r>
    </w:p>
    <w:p w14:paraId="5C93C49B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положительное санитарно-эпидемиологическое заключение на проект (с приложением указанных в заключении материалов).</w:t>
      </w:r>
      <w:r>
        <w:rPr>
          <w:rFonts w:ascii="Arial" w:hAnsi="Arial" w:cs="Arial"/>
          <w:color w:val="444444"/>
        </w:rPr>
        <w:br/>
      </w:r>
    </w:p>
    <w:p w14:paraId="2BEA5509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заключения иных заинтересованных организаций.</w:t>
      </w:r>
      <w:r>
        <w:rPr>
          <w:rFonts w:ascii="Arial" w:hAnsi="Arial" w:cs="Arial"/>
          <w:color w:val="444444"/>
        </w:rPr>
        <w:br/>
      </w:r>
    </w:p>
    <w:p w14:paraId="57CD153B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2.1.4. За представление недостоверных сведений заявители несут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1B465E7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Требования к проектам зон санитарной охраны водных объектов.</w:t>
      </w:r>
      <w:r>
        <w:rPr>
          <w:rFonts w:ascii="Arial" w:hAnsi="Arial" w:cs="Arial"/>
          <w:color w:val="444444"/>
        </w:rPr>
        <w:br/>
      </w:r>
    </w:p>
    <w:p w14:paraId="30B63738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Проекты разрабатываются в соответствии с требованиями СанПиН 2.1.4.1110-02 "Зоны санитарной охраны источников водоснабжения и водопроводов питьевого назначения", утвержденных Главным государственным санитарным врачом Российской Федерации 26 февраля 2002 года.</w:t>
      </w:r>
      <w:r>
        <w:rPr>
          <w:rFonts w:ascii="Arial" w:hAnsi="Arial" w:cs="Arial"/>
          <w:color w:val="444444"/>
        </w:rPr>
        <w:br/>
      </w:r>
    </w:p>
    <w:p w14:paraId="59713330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2.2.2. В состав проекта должны входить: текстовая часть, картографический материал, перечень предусмотренных мероприятий, согласованный с </w:t>
      </w:r>
      <w:r>
        <w:rPr>
          <w:rFonts w:ascii="Arial" w:hAnsi="Arial" w:cs="Arial"/>
          <w:color w:val="444444"/>
        </w:rPr>
        <w:lastRenderedPageBreak/>
        <w:t>землепользователями, сроками их исполнения и исполнителями.</w:t>
      </w:r>
      <w:r>
        <w:rPr>
          <w:rFonts w:ascii="Arial" w:hAnsi="Arial" w:cs="Arial"/>
          <w:color w:val="444444"/>
        </w:rPr>
        <w:br/>
      </w:r>
    </w:p>
    <w:p w14:paraId="66C59C17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Текстовая часть проекта должна содержать:</w:t>
      </w:r>
      <w:r>
        <w:rPr>
          <w:rFonts w:ascii="Arial" w:hAnsi="Arial" w:cs="Arial"/>
          <w:color w:val="444444"/>
        </w:rPr>
        <w:br/>
      </w:r>
    </w:p>
    <w:p w14:paraId="46020E86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характеристику санитарного состояния источников водоснабжения;</w:t>
      </w:r>
      <w:r>
        <w:rPr>
          <w:rFonts w:ascii="Arial" w:hAnsi="Arial" w:cs="Arial"/>
          <w:color w:val="444444"/>
        </w:rPr>
        <w:br/>
      </w:r>
    </w:p>
    <w:p w14:paraId="57F4014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анализы качества воды в объеме, предусмотренном действующими санитарными нормами и правилами;</w:t>
      </w:r>
      <w:r>
        <w:rPr>
          <w:rFonts w:ascii="Arial" w:hAnsi="Arial" w:cs="Arial"/>
          <w:color w:val="444444"/>
        </w:rPr>
        <w:br/>
      </w:r>
    </w:p>
    <w:p w14:paraId="46E2998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гидрологические данные (основные параметры и их динамика во времени) - при поверхностном источнике водоснабжения или гидрогеологические данные - при подземном источнике;</w:t>
      </w:r>
      <w:r>
        <w:rPr>
          <w:rFonts w:ascii="Arial" w:hAnsi="Arial" w:cs="Arial"/>
          <w:color w:val="444444"/>
        </w:rPr>
        <w:br/>
      </w:r>
    </w:p>
    <w:p w14:paraId="7E2980FF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данные, характеризующие взаимовлияние подземного источника и поверхностного водоема при наличии гидравлической связи между ними;</w:t>
      </w:r>
      <w:r>
        <w:rPr>
          <w:rFonts w:ascii="Arial" w:hAnsi="Arial" w:cs="Arial"/>
          <w:color w:val="444444"/>
        </w:rPr>
        <w:br/>
      </w:r>
    </w:p>
    <w:p w14:paraId="1946C17B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данные о перспективах строительства в районе расположения источника хозяйственно-питьевого водоснабжения, в том числе жилых, промышленных и сельскохозяйственных объектов;</w:t>
      </w:r>
      <w:r>
        <w:rPr>
          <w:rFonts w:ascii="Arial" w:hAnsi="Arial" w:cs="Arial"/>
          <w:color w:val="444444"/>
        </w:rPr>
        <w:br/>
      </w:r>
    </w:p>
    <w:p w14:paraId="4A79557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определение границ первого, второго и третьего поясов зон санитарной охраны водных объектов с соответствующим обоснованием и перечень мероприятий с указанием сроков выполнения и ответственных организаций, индивидуальных предпринимателей, с определением источников финансирования;</w:t>
      </w:r>
      <w:r>
        <w:rPr>
          <w:rFonts w:ascii="Arial" w:hAnsi="Arial" w:cs="Arial"/>
          <w:color w:val="444444"/>
        </w:rPr>
        <w:br/>
      </w:r>
    </w:p>
    <w:p w14:paraId="2BD17307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правила и режим хозяйственного использования территорий, входящих в зону санитарной охраны всех поясов.</w:t>
      </w:r>
      <w:r>
        <w:rPr>
          <w:rFonts w:ascii="Arial" w:hAnsi="Arial" w:cs="Arial"/>
          <w:color w:val="444444"/>
        </w:rPr>
        <w:br/>
      </w:r>
    </w:p>
    <w:p w14:paraId="1D36AC7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Картографический материал проекта должен быть представлен в следующем объеме:</w:t>
      </w:r>
      <w:r>
        <w:rPr>
          <w:rFonts w:ascii="Arial" w:hAnsi="Arial" w:cs="Arial"/>
          <w:color w:val="444444"/>
        </w:rPr>
        <w:br/>
      </w:r>
    </w:p>
    <w:p w14:paraId="5583DBD3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ситуационный план с проектируемыми границами второго и третьего поясов зон санитарной охраны водных объектов и нанесением мест расположения водозаборов и площадок водопроводных сооружений, источника водоснабжения и бассейна его питания (с притоками) в масштабе: при поверхностном источнике водоснабжения - 1:50000 - 1:100000, при подземном – 1:10000 - 1:25000;</w:t>
      </w:r>
      <w:r>
        <w:rPr>
          <w:rFonts w:ascii="Arial" w:hAnsi="Arial" w:cs="Arial"/>
          <w:color w:val="444444"/>
        </w:rPr>
        <w:br/>
      </w:r>
    </w:p>
    <w:p w14:paraId="3E951222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гидрогеологические профили по характерным направлениям в пределах области питания водозабора - при подземном источнике водоснабжения;</w:t>
      </w:r>
      <w:r>
        <w:rPr>
          <w:rFonts w:ascii="Arial" w:hAnsi="Arial" w:cs="Arial"/>
          <w:color w:val="444444"/>
        </w:rPr>
        <w:br/>
      </w:r>
    </w:p>
    <w:p w14:paraId="77E56C14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план первого пояса зон санитарной охраны в масштабе 1:500 - 1:1000;</w:t>
      </w:r>
      <w:r>
        <w:rPr>
          <w:rFonts w:ascii="Arial" w:hAnsi="Arial" w:cs="Arial"/>
          <w:color w:val="444444"/>
        </w:rPr>
        <w:br/>
      </w:r>
    </w:p>
    <w:p w14:paraId="37703147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план второго и третьего поясов зон санитарной охраны в масштабе 1:10000 - 1:25000 - при подземном источнике водоснабжения и в масштабе 1:25000 - 1:50000 – при поверхностном источнике водоснабжения с нанесением всех расположенных на данной территории объектов.</w:t>
      </w:r>
      <w:r>
        <w:rPr>
          <w:rFonts w:ascii="Arial" w:hAnsi="Arial" w:cs="Arial"/>
          <w:color w:val="444444"/>
        </w:rPr>
        <w:br/>
      </w:r>
    </w:p>
    <w:p w14:paraId="661F4DE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Срок рассмотрения и утверждения проектов зон санитарной охраны водных объектов.</w:t>
      </w:r>
      <w:r>
        <w:rPr>
          <w:rFonts w:ascii="Arial" w:hAnsi="Arial" w:cs="Arial"/>
          <w:color w:val="444444"/>
        </w:rPr>
        <w:br/>
      </w:r>
    </w:p>
    <w:p w14:paraId="59FD74D5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2.3.1. Срок рассмотрения и утверждения проектов зон санитарной охраны водных объектов составляет 30 календарных дней с даты регистрации соответствующего заявления и прилагаемых к нему документов в департаменте.</w:t>
      </w:r>
      <w:r>
        <w:rPr>
          <w:rFonts w:ascii="Arial" w:hAnsi="Arial" w:cs="Arial"/>
          <w:color w:val="444444"/>
        </w:rPr>
        <w:br/>
      </w:r>
    </w:p>
    <w:p w14:paraId="6B77F342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Основания для отказа в утверждении проектов зон санитарной охраны водных объектов.</w:t>
      </w:r>
      <w:r>
        <w:rPr>
          <w:rFonts w:ascii="Arial" w:hAnsi="Arial" w:cs="Arial"/>
          <w:color w:val="444444"/>
        </w:rPr>
        <w:br/>
      </w:r>
    </w:p>
    <w:p w14:paraId="73BC09AF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2.4.1. Отказ в рассмотрении вопроса об утверждении проектов зон санитарной охраны водных объектов направляется заявителю, если документы для утверждения проектов зон санитарной охраны водных объектов представлены не в полном объеме.</w:t>
      </w:r>
      <w:r>
        <w:rPr>
          <w:rFonts w:ascii="Arial" w:hAnsi="Arial" w:cs="Arial"/>
          <w:color w:val="444444"/>
        </w:rPr>
        <w:br/>
      </w:r>
    </w:p>
    <w:p w14:paraId="0FCC6F32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Проект зон санитарной охраны водных объектов не соответствует требованиям СанПиН 2.1.4.1110-02 "Зоны санитарной охраны источников водоснабжения и водопроводов питьевого назначения".</w:t>
      </w:r>
      <w:r>
        <w:rPr>
          <w:rFonts w:ascii="Arial" w:hAnsi="Arial" w:cs="Arial"/>
          <w:color w:val="444444"/>
        </w:rPr>
        <w:br/>
      </w:r>
    </w:p>
    <w:p w14:paraId="30D284F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2.4.3. Использование водного объекта в целях питьевого и хозяйственно-бытового водоснабжения запрещено или ограничено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742D8BC" w14:textId="77777777" w:rsidR="00F97917" w:rsidRDefault="00F97917" w:rsidP="00F979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АДМИНИСТРАТИВНЫЕ ПРОЦЕДУРЫ</w:t>
      </w:r>
    </w:p>
    <w:p w14:paraId="7A816D33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47339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Исполнение государственной функции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1093F21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рассмотрение заявления об утверждении проектов зон санитарной охраны водных объектов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16BA3C76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утверждение проектов зон санитарной охраны водных объектов.</w:t>
      </w:r>
      <w:r>
        <w:rPr>
          <w:rFonts w:ascii="Arial" w:hAnsi="Arial" w:cs="Arial"/>
          <w:color w:val="444444"/>
        </w:rPr>
        <w:br/>
      </w:r>
    </w:p>
    <w:p w14:paraId="01AE3CE2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Описание последовательности действий при осуществлении государственной функции:</w:t>
      </w:r>
      <w:r>
        <w:rPr>
          <w:rFonts w:ascii="Arial" w:hAnsi="Arial" w:cs="Arial"/>
          <w:color w:val="444444"/>
        </w:rPr>
        <w:br/>
      </w:r>
    </w:p>
    <w:p w14:paraId="14625E8E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приём и регистрация заявления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1CD226C3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рассмотрение принятых документов.</w:t>
      </w:r>
      <w:r>
        <w:rPr>
          <w:rFonts w:ascii="Arial" w:hAnsi="Arial" w:cs="Arial"/>
          <w:color w:val="444444"/>
        </w:rPr>
        <w:br/>
      </w:r>
    </w:p>
    <w:p w14:paraId="4525C1A9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3.2.1. Приём и регистрация в департаменте заявления об утверждении проектов зон санитарной охраны водных объектов (и прилагаемых к нему документов осуществляются в соответствии с Инструкцией по делопроизводству в Администрации Ямало-Ненецкого автономного округа, утвержденной Постановлением Администрации Ямало-Ненецкого автономного округа от 19 октября 2006 года N 476-А.</w:t>
      </w:r>
      <w:r>
        <w:rPr>
          <w:rFonts w:ascii="Arial" w:hAnsi="Arial" w:cs="Arial"/>
          <w:color w:val="444444"/>
        </w:rPr>
        <w:br/>
      </w:r>
    </w:p>
    <w:p w14:paraId="54833A6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3.2.2. В течение 30 календарных дней с даты регистрации заявления проверяется полнота полученных документов, готовиться приказ об утверждении проекта или готовиться письмо об отказе в утверждении проекта.</w:t>
      </w:r>
      <w:r>
        <w:rPr>
          <w:rFonts w:ascii="Arial" w:hAnsi="Arial" w:cs="Arial"/>
          <w:color w:val="444444"/>
        </w:rPr>
        <w:br/>
      </w:r>
    </w:p>
    <w:p w14:paraId="49652CC2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3.2.3. </w:t>
      </w:r>
      <w:proofErr w:type="gramStart"/>
      <w:r>
        <w:rPr>
          <w:rFonts w:ascii="Arial" w:hAnsi="Arial" w:cs="Arial"/>
          <w:color w:val="444444"/>
        </w:rPr>
        <w:t>Документы</w:t>
      </w:r>
      <w:proofErr w:type="gramEnd"/>
      <w:r>
        <w:rPr>
          <w:rFonts w:ascii="Arial" w:hAnsi="Arial" w:cs="Arial"/>
          <w:color w:val="444444"/>
        </w:rPr>
        <w:t xml:space="preserve"> представленные в полном объеме принимаются к рассмотрению, документы представленные не в полном объеме - возвращаются заявителю с отказом в рассмотрении вопроса об утверждении проектов зон </w:t>
      </w:r>
      <w:r>
        <w:rPr>
          <w:rFonts w:ascii="Arial" w:hAnsi="Arial" w:cs="Arial"/>
          <w:color w:val="444444"/>
        </w:rPr>
        <w:lastRenderedPageBreak/>
        <w:t>санитарной охраны водных объектов.</w:t>
      </w:r>
      <w:r>
        <w:rPr>
          <w:rFonts w:ascii="Arial" w:hAnsi="Arial" w:cs="Arial"/>
          <w:color w:val="444444"/>
        </w:rPr>
        <w:br/>
      </w:r>
    </w:p>
    <w:p w14:paraId="4972DB0E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3.2.4. В Приказе об утверждении проекта на подпись директора департамента ставится печать департамента.</w:t>
      </w:r>
      <w:r>
        <w:rPr>
          <w:rFonts w:ascii="Arial" w:hAnsi="Arial" w:cs="Arial"/>
          <w:color w:val="444444"/>
        </w:rPr>
        <w:br/>
      </w:r>
    </w:p>
    <w:p w14:paraId="564A73F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3.2.5. Приказ об утверждении Проекта оформляется в количестве двух экземпляров.</w:t>
      </w:r>
      <w:r>
        <w:rPr>
          <w:rFonts w:ascii="Arial" w:hAnsi="Arial" w:cs="Arial"/>
          <w:color w:val="444444"/>
        </w:rPr>
        <w:br/>
      </w:r>
    </w:p>
    <w:p w14:paraId="01508AD4" w14:textId="77777777" w:rsidR="00F97917" w:rsidRDefault="00F97917" w:rsidP="00F979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ПОРЯДОК ВЫДАЧИ ДОКУМЕНТОВ</w:t>
      </w:r>
    </w:p>
    <w:p w14:paraId="09EA994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07A785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Не позднее 30 календарных дней со дня приема заявления, заявителю выдается оригинал Приказа или письменный мотивированный отказ в утверждении Проекта.</w:t>
      </w:r>
      <w:r>
        <w:rPr>
          <w:rFonts w:ascii="Arial" w:hAnsi="Arial" w:cs="Arial"/>
          <w:color w:val="444444"/>
        </w:rPr>
        <w:br/>
      </w:r>
    </w:p>
    <w:p w14:paraId="28B24D0E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Один экземпляр Приказа, необходимый пакет документов, на основании которых издается Приказ, находятся на ответственном хранении в отделе водного контроля и надзора департамента.</w:t>
      </w:r>
      <w:r>
        <w:rPr>
          <w:rFonts w:ascii="Arial" w:hAnsi="Arial" w:cs="Arial"/>
          <w:color w:val="444444"/>
        </w:rPr>
        <w:br/>
      </w:r>
    </w:p>
    <w:p w14:paraId="5B42E8F7" w14:textId="77777777" w:rsidR="00F97917" w:rsidRDefault="00F97917" w:rsidP="00F979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ОТВЕТСТВЕННОСТЬ ЗА ПОДГОТОВКУ И ВЫДАЧУ ДОКУМЕНТОВ</w:t>
      </w:r>
    </w:p>
    <w:p w14:paraId="30F029E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36C5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 несвоевременное рассмотрение представленных заявителем документов, их утверждение (отклонение) и выдачу департаментом Приказа заявителю предусматривается ответственность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4DF0F28" w14:textId="77777777" w:rsidR="00F97917" w:rsidRDefault="00F97917" w:rsidP="00F9791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VI. ПОРЯДОК ОБЖАЛОВАНИЯ ДЕЙСТВИЙ (БЕЗДЕЙСТВИЯ) И РЕШЕНИЙ, ОСУЩЕСТВЛЯЕМЫХ (ПРИНЯТЫХ) В ХОДЕ ПРЕДОСТАВЛЕНИЯ ГОСУДАРСТВЕННОЙ ФУНКЦИИ НА ОСНОВАНИИ АДМИНИСТРАТИВНОГО РЕГЛАМЕНТА</w:t>
      </w:r>
    </w:p>
    <w:p w14:paraId="6C55400E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8740B7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Получатели государственной функции (либо их представители) имеют право на обжалование (оспаривание) действий или бездействия должностных лиц департамента, осуществляемые (принятые) в ходе предоставления государственной функции на основании настоящего Регламента, в досудебном и судебном порядке.</w:t>
      </w:r>
      <w:r>
        <w:rPr>
          <w:rFonts w:ascii="Arial" w:hAnsi="Arial" w:cs="Arial"/>
          <w:color w:val="444444"/>
        </w:rPr>
        <w:br/>
      </w:r>
    </w:p>
    <w:p w14:paraId="68CA680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статьи 254 Гражданского процессуального кодекса Российской Федерации организация вправе оспорить в суде решение, действие (бездействие) органа государственной власти, должностного лица, государственного служащего, если считает, что нарушены его права и свободы.</w:t>
      </w:r>
      <w:r>
        <w:rPr>
          <w:rFonts w:ascii="Arial" w:hAnsi="Arial" w:cs="Arial"/>
          <w:color w:val="444444"/>
        </w:rPr>
        <w:br/>
      </w:r>
    </w:p>
    <w:p w14:paraId="38067DB6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Получатели государственной функции (либо их представители) вправе обратиться в департамент с обращением лично или письменно в установленном законом порядке.</w:t>
      </w:r>
      <w:r>
        <w:rPr>
          <w:rFonts w:ascii="Arial" w:hAnsi="Arial" w:cs="Arial"/>
          <w:color w:val="444444"/>
        </w:rPr>
        <w:br/>
      </w:r>
    </w:p>
    <w:p w14:paraId="6C11716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При обращении получателя государственной функции в письменной форме срок рассмотрения обращения не должен превышать 30 календарных дней с момента регистрации такого обращения.</w:t>
      </w:r>
      <w:r>
        <w:rPr>
          <w:rFonts w:ascii="Arial" w:hAnsi="Arial" w:cs="Arial"/>
          <w:color w:val="444444"/>
        </w:rPr>
        <w:br/>
      </w:r>
    </w:p>
    <w:p w14:paraId="74395948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6.4. Получатель государственной функции (либо его представитель) в своем письменном обращении указывает полное наименование органа местного самоуправления, юридического лица, индивидуального предпринимателя, почтовый адрес, по которому должен быть направлен ответ, излагает суть предложения, заявления или жалобы, ставит личную подпись и дату.</w:t>
      </w:r>
      <w:r>
        <w:rPr>
          <w:rFonts w:ascii="Arial" w:hAnsi="Arial" w:cs="Arial"/>
          <w:color w:val="444444"/>
        </w:rPr>
        <w:br/>
      </w:r>
    </w:p>
    <w:p w14:paraId="57231491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Дополнительно в обращении могут быть указаны:</w:t>
      </w:r>
      <w:r>
        <w:rPr>
          <w:rFonts w:ascii="Arial" w:hAnsi="Arial" w:cs="Arial"/>
          <w:color w:val="444444"/>
        </w:rPr>
        <w:br/>
      </w:r>
    </w:p>
    <w:p w14:paraId="77D8F0CA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органа, должность, фамилия, имя и отчество специалиста (при наличии информации), решение, действие (бездействие) которого оспаривается;</w:t>
      </w:r>
      <w:r>
        <w:rPr>
          <w:rFonts w:ascii="Arial" w:hAnsi="Arial" w:cs="Arial"/>
          <w:color w:val="444444"/>
        </w:rPr>
        <w:br/>
      </w:r>
    </w:p>
    <w:p w14:paraId="589A67B9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суть оспариваемого действия (бездействия);</w:t>
      </w:r>
      <w:r>
        <w:rPr>
          <w:rFonts w:ascii="Arial" w:hAnsi="Arial" w:cs="Arial"/>
          <w:color w:val="444444"/>
        </w:rPr>
        <w:br/>
      </w:r>
    </w:p>
    <w:p w14:paraId="368A053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обстоятельства, на основании которых заявитель считает, что нарушены его права, свободы и законные интересы, созданы препятствия к их реализации либо незаконно возложена какая-либо обязанность;</w:t>
      </w:r>
      <w:r>
        <w:rPr>
          <w:rFonts w:ascii="Arial" w:hAnsi="Arial" w:cs="Arial"/>
          <w:color w:val="444444"/>
        </w:rPr>
        <w:br/>
      </w:r>
    </w:p>
    <w:p w14:paraId="67F7D79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сведения, которые заявитель считает необходимым сообщить.</w:t>
      </w:r>
      <w:r>
        <w:rPr>
          <w:rFonts w:ascii="Arial" w:hAnsi="Arial" w:cs="Arial"/>
          <w:color w:val="444444"/>
        </w:rPr>
        <w:br/>
      </w:r>
    </w:p>
    <w:p w14:paraId="2A1795CD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необходимости в подтверждение своих доводов заявитель прилагает к письменному обращению документы и материалы либо их копии.</w:t>
      </w:r>
      <w:r>
        <w:rPr>
          <w:rFonts w:ascii="Arial" w:hAnsi="Arial" w:cs="Arial"/>
          <w:color w:val="444444"/>
        </w:rPr>
        <w:br/>
      </w:r>
    </w:p>
    <w:p w14:paraId="65DAA54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6.5. По результатам рассмотрения обращения должностным лицом департамента принимается решение об удовлетворении требований заявителя либо об отказе в удовлетворении жалобы.</w:t>
      </w:r>
      <w:r>
        <w:rPr>
          <w:rFonts w:ascii="Arial" w:hAnsi="Arial" w:cs="Arial"/>
          <w:color w:val="444444"/>
        </w:rPr>
        <w:br/>
      </w:r>
    </w:p>
    <w:p w14:paraId="10044DEC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6.6. Письменный ответ, содержащий результаты рассмотрения обращения, направляется заявителю.</w:t>
      </w:r>
      <w:r>
        <w:rPr>
          <w:rFonts w:ascii="Arial" w:hAnsi="Arial" w:cs="Arial"/>
          <w:color w:val="444444"/>
        </w:rPr>
        <w:br/>
      </w:r>
    </w:p>
    <w:p w14:paraId="102E0D23" w14:textId="77777777" w:rsidR="00F97917" w:rsidRDefault="00F97917" w:rsidP="00F979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6.7. Заявители вправе обжаловать решения, принятые в ходе исполнения государственной функции, действия или бездействие должностных лиц департамента в судебном порядке.</w:t>
      </w:r>
    </w:p>
    <w:p w14:paraId="51BAA63F" w14:textId="77777777" w:rsidR="00F97917" w:rsidRDefault="00F97917" w:rsidP="00F97917"/>
    <w:p w14:paraId="3C35C4F0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9791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979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79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979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9791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F97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97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