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D63DF46" w14:textId="77777777" w:rsidR="00D2482B" w:rsidRDefault="00D2482B" w:rsidP="00D2482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 ТЮМЕНСКОЙ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24 марта 2014 года N 19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условиях концессионных соглашений Тюменской области в отношении объектов, на которых осуществляются обработка, утилизация, обезвреживание, размещение твердых коммунальных отходов</w:t>
      </w:r>
    </w:p>
    <w:p w14:paraId="3B7944EA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Законов Тюменской области от 31.03.2015 N 34, от 26.04.2018 N 40)</w:t>
      </w:r>
      <w:r>
        <w:rPr>
          <w:rFonts w:ascii="Arial" w:hAnsi="Arial" w:cs="Arial"/>
          <w:color w:val="444444"/>
        </w:rPr>
        <w:br/>
      </w:r>
    </w:p>
    <w:p w14:paraId="36559F9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 областной Думой 13 марта 2014 года</w:t>
      </w:r>
    </w:p>
    <w:p w14:paraId="0DD87B37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4FB9D29" w14:textId="77777777" w:rsidR="00D2482B" w:rsidRDefault="00D2482B" w:rsidP="00D2482B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</w:p>
    <w:p w14:paraId="03C8FFDF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1</w:t>
      </w:r>
      <w:r>
        <w:rPr>
          <w:rFonts w:ascii="Arial" w:hAnsi="Arial" w:cs="Arial"/>
          <w:color w:val="444444"/>
        </w:rPr>
        <w:br/>
      </w:r>
    </w:p>
    <w:p w14:paraId="510CB68C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3FCF6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Понятия и термины, используемые в настоящем Законе, применяются в значениях, определенных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4CCC5CFB" w14:textId="77777777" w:rsidR="00D2482B" w:rsidRDefault="00D2482B" w:rsidP="00D2482B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5717ED83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2</w:t>
      </w:r>
      <w:r>
        <w:rPr>
          <w:rFonts w:ascii="Arial" w:hAnsi="Arial" w:cs="Arial"/>
          <w:color w:val="444444"/>
        </w:rPr>
        <w:br/>
      </w:r>
    </w:p>
    <w:p w14:paraId="4BFF9CBF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D2348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В отношении объектов, на которых осуществляются обработка, утилизация, обезвреживание, размещение твердых коммунальных отходов, могут быть заключены концессионные соглашения. Заключение указанных концессионных соглашений и внесение в них изменений, исполнение полномочий </w:t>
      </w:r>
      <w:proofErr w:type="spellStart"/>
      <w:r>
        <w:rPr>
          <w:rFonts w:ascii="Arial" w:hAnsi="Arial" w:cs="Arial"/>
          <w:color w:val="444444"/>
        </w:rPr>
        <w:t>концедента</w:t>
      </w:r>
      <w:proofErr w:type="spellEnd"/>
      <w:r>
        <w:rPr>
          <w:rFonts w:ascii="Arial" w:hAnsi="Arial" w:cs="Arial"/>
          <w:color w:val="444444"/>
        </w:rPr>
        <w:t xml:space="preserve"> при заключении и исполнении концессионных соглашений осуществляет Правительство Тюменской области или уполномоченные Правительством Тюменской области исполнительные органы государственной власти Тюменской области.</w:t>
      </w:r>
      <w:r>
        <w:rPr>
          <w:rFonts w:ascii="Arial" w:hAnsi="Arial" w:cs="Arial"/>
          <w:color w:val="444444"/>
        </w:rPr>
        <w:br/>
      </w:r>
    </w:p>
    <w:p w14:paraId="66AF371A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E1D841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31.03.2015 N 34)</w:t>
      </w:r>
      <w:r>
        <w:rPr>
          <w:rFonts w:ascii="Arial" w:hAnsi="Arial" w:cs="Arial"/>
          <w:color w:val="444444"/>
        </w:rPr>
        <w:br/>
      </w:r>
    </w:p>
    <w:p w14:paraId="75322075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14299C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Условия концессионного соглашения устанавливаются решением о заключении концессионного соглашения, принимаемым Правительством Тюменской области, с учетом положений настоящего Закона. При этом в решении концессионная плата по концессионному соглашению в части оказания концессионером услуг по обработке, утилизации, обезвреживанию, размещению твердых коммунальных отходов не предусматривается, а также указываются:</w:t>
      </w:r>
      <w:r>
        <w:rPr>
          <w:rFonts w:ascii="Arial" w:hAnsi="Arial" w:cs="Arial"/>
          <w:color w:val="444444"/>
        </w:rPr>
        <w:br/>
      </w:r>
    </w:p>
    <w:p w14:paraId="638CF7F2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10FA8C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31.03.2015 N 34, от 26.04.2018 N 40)</w:t>
      </w:r>
      <w:r>
        <w:rPr>
          <w:rFonts w:ascii="Arial" w:hAnsi="Arial" w:cs="Arial"/>
          <w:color w:val="444444"/>
        </w:rPr>
        <w:br/>
      </w:r>
    </w:p>
    <w:p w14:paraId="50689B75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20C61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объекты, которые должны быть созданы в результате реализации концессионного соглашения, минимальный уровень загрузки каждого из таких объектов, случаи и условия компенсации концессионеру неполученных доходов в соответствии с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7C5C8AD0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656AF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размер обеспечения исполнения концессионером обязательств по концессионному соглашению в отношении каждого из объектов, которые должны быть созданы в результате реализации концессионного соглашения, который должен составлять не менее 10% от суммы инвестиций концессионера;</w:t>
      </w:r>
      <w:r>
        <w:rPr>
          <w:rFonts w:ascii="Arial" w:hAnsi="Arial" w:cs="Arial"/>
          <w:color w:val="444444"/>
        </w:rPr>
        <w:br/>
      </w:r>
    </w:p>
    <w:p w14:paraId="76783AA2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6E487E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размер, форма, порядок и сроки концессионной платы по концессионному соглашению в части деятельности по сбору, накоплению, транспортированию, обработке, утилизации, обезвреживанию, размещению видов отходов, не являющихся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0ADFFC7E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E624D8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31.03.2015 N 34)</w:t>
      </w:r>
      <w:r>
        <w:rPr>
          <w:rFonts w:ascii="Arial" w:hAnsi="Arial" w:cs="Arial"/>
          <w:color w:val="444444"/>
        </w:rPr>
        <w:br/>
      </w:r>
    </w:p>
    <w:p w14:paraId="11205FB8" w14:textId="77777777" w:rsidR="00D2482B" w:rsidRDefault="00D2482B" w:rsidP="00D2482B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2204C2E1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3</w:t>
      </w:r>
      <w:r>
        <w:rPr>
          <w:rFonts w:ascii="Arial" w:hAnsi="Arial" w:cs="Arial"/>
          <w:color w:val="444444"/>
        </w:rPr>
        <w:br/>
      </w:r>
    </w:p>
    <w:p w14:paraId="2BB4EB96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BE95A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Находящееся в собственности Тюменской области имущество, образующее единое целое с объектом концессионного соглашения, а также имущество, не относящееся к объекту концессионного соглашения, но необходимое для осуществления деятельности, предусмотренной концессионным соглашением, предоставляется концессионеру на условиях концессионного соглашения в соответствии с Федеральным законом "О концессионных соглашениях", другими федеральными законами и иными нормативными правовыми актами Российской Федерации, законами и иными нормативными правовыми актами Тюменской области.</w:t>
      </w:r>
      <w:r>
        <w:rPr>
          <w:rFonts w:ascii="Arial" w:hAnsi="Arial" w:cs="Arial"/>
          <w:color w:val="444444"/>
        </w:rPr>
        <w:br/>
      </w:r>
    </w:p>
    <w:p w14:paraId="688048C3" w14:textId="77777777" w:rsidR="00D2482B" w:rsidRDefault="00D2482B" w:rsidP="00D2482B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C744EE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4</w:t>
      </w:r>
      <w:r>
        <w:rPr>
          <w:rFonts w:ascii="Arial" w:hAnsi="Arial" w:cs="Arial"/>
          <w:color w:val="444444"/>
        </w:rPr>
        <w:br/>
      </w:r>
    </w:p>
    <w:p w14:paraId="350413F7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7EC3F8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Стороны концессионного соглашения несут ответственность за неисполнение или ненадлежащее исполнение своих обязательств по концессионному соглашению, предусмотренную федеральным законодательством и концессионным соглашением.</w:t>
      </w:r>
      <w:r>
        <w:rPr>
          <w:rFonts w:ascii="Arial" w:hAnsi="Arial" w:cs="Arial"/>
          <w:color w:val="444444"/>
        </w:rPr>
        <w:br/>
      </w:r>
    </w:p>
    <w:p w14:paraId="3230E7BF" w14:textId="77777777" w:rsidR="00D2482B" w:rsidRDefault="00D2482B" w:rsidP="00D2482B">
      <w:pPr>
        <w:pStyle w:val="2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19375E8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Статья 5</w:t>
      </w:r>
      <w:r>
        <w:rPr>
          <w:rFonts w:ascii="Arial" w:hAnsi="Arial" w:cs="Arial"/>
          <w:color w:val="444444"/>
        </w:rPr>
        <w:br/>
      </w:r>
    </w:p>
    <w:p w14:paraId="7C326091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AFA0B9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3B5B165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Тюменской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1C6367E1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Тюмень</w:t>
      </w:r>
    </w:p>
    <w:p w14:paraId="2C94E3B4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24 марта 2014 года</w:t>
      </w:r>
    </w:p>
    <w:p w14:paraId="66F0365F" w14:textId="77777777" w:rsidR="00D2482B" w:rsidRDefault="00D2482B" w:rsidP="00D2482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N 19</w:t>
      </w:r>
    </w:p>
    <w:p w14:paraId="2862CD61" w14:textId="77777777" w:rsidR="00D2482B" w:rsidRDefault="00D2482B" w:rsidP="00D2482B"/>
    <w:p w14:paraId="6F0DF533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2482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248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2482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24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24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