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83E71" w:rsidRPr="00A83E71" w:rsidRDefault="00A83E71" w:rsidP="00A83E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E71">
        <w:rPr>
          <w:rFonts w:ascii="Times New Roman" w:hAnsi="Times New Roman" w:cs="Times New Roman"/>
          <w:b/>
          <w:sz w:val="24"/>
          <w:szCs w:val="24"/>
        </w:rPr>
        <w:t>Об утверждении норм в области охоты и сохранения охотничьих ресурсов в весенний период 2018 г. На территории Республики Калмыкия</w:t>
      </w: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ПРИКАЗ</w:t>
      </w: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от 21 февраля 2018 года N 52</w:t>
      </w: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Об утверждении норм в области охоты и сохранения охотничьих ресурсов в весенний период 2018 г. На территории Республики Калмыкия</w:t>
      </w: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В соответствии со статьями 34 и 38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Федерации", распоряжением Главы Республики Калмыкия от 12 февраля 2016 г. N 33-рг приказываю: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1. Утвердить нормы пропускной способности водно-болотных угодий Республики Калмыкия при осуществлении охоты в весенний период 2018 года на водоплавающую дичь (приложение 1);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2. Утвердить дневные (суточные) нормы добычи пернатой дичи на одного охотника на территории Республики Калмыкия в период проведения весенней охоты 2018 года: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lastRenderedPageBreak/>
        <w:t>- белолобые гуси - не более 2 особей;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- селезни уток, - не более 5 особей.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3. Контроль за исполнением настоящего приказа возложить на заместителя Министра Батырова К.Г.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Министр</w:t>
      </w:r>
    </w:p>
    <w:p w:rsidR="00A83E71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Б.САПРОНОВ</w:t>
      </w:r>
    </w:p>
    <w:p w:rsid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Приложение 1. Нормы пропускной способности общедоступных охотничьих угодий (ООУ) Республики Калмыкия при осуществлении охоты на пернатую дичь в весенний период 2018 года</w:t>
      </w: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Приложение 1</w:t>
      </w:r>
    </w:p>
    <w:p w:rsidR="00A83E71" w:rsidRPr="00A83E71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к Приказу</w:t>
      </w:r>
    </w:p>
    <w:p w:rsidR="00A83E71" w:rsidRPr="00A83E71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A83E71" w:rsidRPr="00A83E71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A83E71" w:rsidRPr="00A83E71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A100F9" w:rsidRDefault="00A83E71" w:rsidP="00A83E71">
      <w:pPr>
        <w:jc w:val="right"/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от 21 февраля 2018 г. N 52</w:t>
      </w:r>
    </w:p>
    <w:p w:rsidR="00A100F9" w:rsidRDefault="00A100F9" w:rsidP="00A83E71">
      <w:pPr>
        <w:rPr>
          <w:rFonts w:ascii="Times New Roman" w:hAnsi="Times New Roman" w:cs="Times New Roman"/>
          <w:sz w:val="24"/>
          <w:szCs w:val="24"/>
        </w:rPr>
      </w:pPr>
    </w:p>
    <w:p w:rsidR="00A100F9" w:rsidRDefault="00A100F9" w:rsidP="00A83E7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1"/>
        <w:gridCol w:w="2987"/>
        <w:gridCol w:w="2447"/>
      </w:tblGrid>
      <w:tr w:rsidR="00A83E71" w:rsidRPr="00A83E71" w:rsidTr="00A83E71">
        <w:trPr>
          <w:trHeight w:val="15"/>
          <w:tblCellSpacing w:w="15" w:type="dxa"/>
        </w:trPr>
        <w:tc>
          <w:tcPr>
            <w:tcW w:w="4066" w:type="dxa"/>
            <w:vAlign w:val="center"/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районы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суточная пропускная способность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сезонная пропускная </w:t>
            </w: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способность по району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Городовиковский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поля ООУ района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Ики-Бурулъский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Заказник "Зунда"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Заказник "Чограйский"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Заказник "Южный", поля </w:t>
            </w:r>
          </w:p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Маныч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Разливы Черноземельского канала от п. Светлый до </w:t>
            </w:r>
          </w:p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оз. Матхир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Др. водоемы ООУ района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Кетченеровский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Сарпа, заливные луга </w:t>
            </w:r>
          </w:p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Чкаловский и п. Алцынхута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Лаганский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Заказник "Каспийский"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Разливы Кумского канала, побережье и заливы Каспийского моря до границы с охотхозяйством РСООиРК "Каспийское"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Др. водоемы ООУ района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Малодербетовский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Ханата, оз. Сарпа, оз. Шардава-Хаг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лиманы п. Ики - Бухус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Оз. Шарон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Хар-Гота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лиман Гувиль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Сарпа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Временные разливы и водоемы канала Р-1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Приютненский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ООУ южнее федеральной автомобильной дороги Астрахань - Ставрополь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ООУ севернее федеральной автомобильной дороги Астрахань - Ставрополь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Сарпинский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Аршань-Зельмень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Оз. Каменная балка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Оз. Батыр-Мала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Сарпа, оз.Ханата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Поля ООУ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Р. Элиста, вдх. Красинское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р. Яшкуль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разливы около п. Ялмта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Бадмаевское, разливы около ф. Чонта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оз. Ар Нур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Черноземельский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752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разливы канала УС-5 восточнее автотрассы </w:t>
            </w:r>
          </w:p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Яшкуль - п. Комсомольский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разливы севернее п. Сарул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разливы Черноземельского канала южнее п. Сарул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заказник Состинский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оз. Кек-Усн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разливы Светлый Ерик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разливы около ф. Яковлево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разливы р. Кума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Взморье около п. Артезиан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Юстинский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Яшкульский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292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Байн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оз. Канурка и разливы оз. </w:t>
            </w: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Канурка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 Чилгирские разливы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Разливы около п. Эрмели, оз. Джанаховское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Разливы канала Волго-Чограй, южнее автотрассы Астрахань-Ставрополь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Разливы около п. Хар-Толга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Цаган-Уснский коллектор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заливные луга п. Цаган Усн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лиман Большой капитан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Руслановские разливы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Кировские разливы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Яшалтинский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Бурукшунские лиманы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71" w:rsidRPr="00A83E71" w:rsidTr="00A83E71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республике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3E71" w:rsidRPr="00A83E71" w:rsidRDefault="00A83E71" w:rsidP="00A83E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2934 </w:t>
            </w:r>
          </w:p>
        </w:tc>
      </w:tr>
    </w:tbl>
    <w:p w:rsidR="00A83E71" w:rsidRPr="00A83E71" w:rsidRDefault="00A83E71" w:rsidP="00A83E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Расчет сезонной пропускной способности охотничьих угодий на примере Городовиковского района: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H = X х A / Y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H - сезонная пропускная способность;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X - суточная пропускная способность;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lastRenderedPageBreak/>
        <w:t>A - количество охотничьих дней на пернатую дичь за весенний сезон по Республике Калмыкия - 10;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Y - количество проведенных на охоте дней (согласно материалам опроса охотников республики, среднестатистический охотник проводит на охоте 5 дней за весенний сезон охоты).</w:t>
      </w: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83E71" w:rsidRPr="00A83E71" w:rsidRDefault="00A83E71" w:rsidP="00A83E71">
      <w:pPr>
        <w:rPr>
          <w:rFonts w:ascii="Times New Roman" w:hAnsi="Times New Roman" w:cs="Times New Roman"/>
          <w:sz w:val="24"/>
          <w:szCs w:val="24"/>
        </w:rPr>
      </w:pPr>
    </w:p>
    <w:p w:rsidR="00A100F9" w:rsidRPr="00E50374" w:rsidRDefault="00A83E71" w:rsidP="00A83E71">
      <w:pPr>
        <w:rPr>
          <w:rFonts w:ascii="Times New Roman" w:hAnsi="Times New Roman" w:cs="Times New Roman"/>
          <w:sz w:val="24"/>
          <w:szCs w:val="24"/>
        </w:rPr>
      </w:pPr>
      <w:r w:rsidRPr="00A83E71">
        <w:rPr>
          <w:rFonts w:ascii="Times New Roman" w:hAnsi="Times New Roman" w:cs="Times New Roman"/>
          <w:sz w:val="24"/>
          <w:szCs w:val="24"/>
        </w:rPr>
        <w:t>H = 50 x 10 / 5 = 100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4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E26183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ceac5d25fd6432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