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2DB92EF" w14:textId="77777777" w:rsidR="001B28C4" w:rsidRPr="001B28C4" w:rsidRDefault="001B28C4" w:rsidP="001B28C4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B28C4">
        <w:rPr>
          <w:rFonts w:ascii="Arial" w:hAnsi="Arial" w:cs="Arial"/>
          <w:sz w:val="24"/>
          <w:szCs w:val="24"/>
        </w:rPr>
        <w:t>ЗАКОН</w:t>
      </w:r>
      <w:r w:rsidRPr="001B28C4">
        <w:rPr>
          <w:rFonts w:ascii="Arial" w:hAnsi="Arial" w:cs="Arial"/>
          <w:sz w:val="24"/>
          <w:szCs w:val="24"/>
        </w:rPr>
        <w:br/>
      </w:r>
      <w:r w:rsidRPr="001B28C4">
        <w:rPr>
          <w:rFonts w:ascii="Arial" w:hAnsi="Arial" w:cs="Arial"/>
          <w:sz w:val="24"/>
          <w:szCs w:val="24"/>
        </w:rPr>
        <w:br/>
        <w:t> ТАМБОВСКОЙ ОБЛАСТИ</w:t>
      </w:r>
      <w:r w:rsidRPr="001B28C4">
        <w:rPr>
          <w:rFonts w:ascii="Arial" w:hAnsi="Arial" w:cs="Arial"/>
          <w:sz w:val="24"/>
          <w:szCs w:val="24"/>
        </w:rPr>
        <w:br/>
      </w:r>
      <w:r w:rsidRPr="001B28C4">
        <w:rPr>
          <w:rFonts w:ascii="Arial" w:hAnsi="Arial" w:cs="Arial"/>
          <w:sz w:val="24"/>
          <w:szCs w:val="24"/>
        </w:rPr>
        <w:br/>
        <w:t>от 23 июля 2010 года N 680-З</w:t>
      </w:r>
      <w:r w:rsidRPr="001B28C4">
        <w:rPr>
          <w:rFonts w:ascii="Arial" w:hAnsi="Arial" w:cs="Arial"/>
          <w:sz w:val="24"/>
          <w:szCs w:val="24"/>
        </w:rPr>
        <w:br/>
      </w:r>
      <w:r w:rsidRPr="001B28C4">
        <w:rPr>
          <w:rFonts w:ascii="Arial" w:hAnsi="Arial" w:cs="Arial"/>
          <w:sz w:val="24"/>
          <w:szCs w:val="24"/>
        </w:rPr>
        <w:br/>
      </w:r>
      <w:r w:rsidRPr="001B28C4">
        <w:rPr>
          <w:rFonts w:ascii="Arial" w:hAnsi="Arial" w:cs="Arial"/>
          <w:sz w:val="24"/>
          <w:szCs w:val="24"/>
        </w:rPr>
        <w:br/>
        <w:t>Об охоте и о сохранении охотничьих ресурсов в Тамбовской области</w:t>
      </w:r>
    </w:p>
    <w:p w14:paraId="4CA0B2B7" w14:textId="77777777" w:rsidR="001B28C4" w:rsidRPr="001B28C4" w:rsidRDefault="001B28C4" w:rsidP="001B28C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(с изменениями на 1 ноября 2021 года)</w:t>
      </w:r>
    </w:p>
    <w:p w14:paraId="4BF4F2CB" w14:textId="77777777" w:rsidR="001B28C4" w:rsidRPr="001B28C4" w:rsidRDefault="001B28C4" w:rsidP="001B28C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(в ред. Законов Тамбовской области от 30.12.2010 N 734-З, от 25.07.2011 N 47-З, от 29.01.2013 N 241-З, от 29.01.2018 N 205-З, от 10.06.2019 N 350-З, от 01.11.2021 N 6-З)</w:t>
      </w:r>
    </w:p>
    <w:p w14:paraId="0F132732" w14:textId="77777777" w:rsidR="001B28C4" w:rsidRPr="001B28C4" w:rsidRDefault="001B28C4" w:rsidP="001B28C4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br/>
      </w:r>
      <w:r w:rsidRPr="001B28C4">
        <w:rPr>
          <w:rFonts w:ascii="Arial" w:hAnsi="Arial" w:cs="Arial"/>
        </w:rPr>
        <w:br/>
      </w:r>
      <w:r w:rsidRPr="001B28C4">
        <w:rPr>
          <w:rFonts w:ascii="Arial" w:hAnsi="Arial" w:cs="Arial"/>
        </w:rPr>
        <w:br/>
        <w:t>Принят</w:t>
      </w:r>
      <w:r w:rsidRPr="001B28C4">
        <w:rPr>
          <w:rFonts w:ascii="Arial" w:hAnsi="Arial" w:cs="Arial"/>
        </w:rPr>
        <w:br/>
        <w:t>Постановлением</w:t>
      </w:r>
      <w:r w:rsidRPr="001B28C4">
        <w:rPr>
          <w:rFonts w:ascii="Arial" w:hAnsi="Arial" w:cs="Arial"/>
        </w:rPr>
        <w:br/>
        <w:t>Тамбовской областной Думы</w:t>
      </w:r>
      <w:r w:rsidRPr="001B28C4">
        <w:rPr>
          <w:rFonts w:ascii="Arial" w:hAnsi="Arial" w:cs="Arial"/>
        </w:rPr>
        <w:br/>
        <w:t>от 19 июля 2010 г. N 1875</w:t>
      </w:r>
    </w:p>
    <w:p w14:paraId="6CD36DA5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br/>
      </w:r>
    </w:p>
    <w:p w14:paraId="062253E6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Настоящий Закон Тамбовской области (далее - Закон) регулирует отношения в области охоты и сохранения охотничьих ресурсов на территории Тамбовской области.</w:t>
      </w:r>
      <w:r w:rsidRPr="001B28C4">
        <w:rPr>
          <w:rFonts w:ascii="Arial" w:hAnsi="Arial" w:cs="Arial"/>
        </w:rPr>
        <w:br/>
      </w:r>
    </w:p>
    <w:p w14:paraId="6DF942E4" w14:textId="77777777" w:rsidR="001B28C4" w:rsidRPr="001B28C4" w:rsidRDefault="001B28C4" w:rsidP="001B28C4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B28C4">
        <w:rPr>
          <w:rFonts w:ascii="Arial" w:hAnsi="Arial" w:cs="Arial"/>
          <w:sz w:val="24"/>
          <w:szCs w:val="24"/>
        </w:rPr>
        <w:br/>
      </w:r>
      <w:r w:rsidRPr="001B28C4">
        <w:rPr>
          <w:rFonts w:ascii="Arial" w:hAnsi="Arial" w:cs="Arial"/>
          <w:sz w:val="24"/>
          <w:szCs w:val="24"/>
        </w:rPr>
        <w:br/>
        <w:t>Статья 1. Основные понятия</w:t>
      </w:r>
    </w:p>
    <w:p w14:paraId="0E8828B5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8E4F3E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В целях настоящего Закона используются следующие основные понятия:</w:t>
      </w:r>
      <w:r w:rsidRPr="001B28C4">
        <w:rPr>
          <w:rFonts w:ascii="Arial" w:hAnsi="Arial" w:cs="Arial"/>
        </w:rPr>
        <w:br/>
      </w:r>
    </w:p>
    <w:p w14:paraId="2682CCCD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F78EB2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1) охотничьи ресурсы - объекты животного мира, которые в соответствии с Федеральным законом от 24 июля 2009 года N 209-ФЗ "Об охоте и о сохранении охотничьих ресурсов и о внесении изменений в отдельные законодательные акты Российской Федерации" (далее - Федеральный закон "Об охоте и о сохранении охотничьих ресурсов и о внесении изменений в отдельные законодательные акты Российской Федерации") и (или) настоящим Законом используются или могут быть использованы в целях охоты;</w:t>
      </w:r>
      <w:r w:rsidRPr="001B28C4">
        <w:rPr>
          <w:rFonts w:ascii="Arial" w:hAnsi="Arial" w:cs="Arial"/>
        </w:rPr>
        <w:br/>
      </w:r>
    </w:p>
    <w:p w14:paraId="6E29FB4F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9AEBD4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2) охотничье хозяйство - сфера деятельности по сохранению и использованию охотничьих ресурсов и среды их обитания, по созданию охотничьей инфраструктуры, оказанию услуг в данной сфере, а также по закупке, производству и продаже продукции охоты;</w:t>
      </w:r>
      <w:r w:rsidRPr="001B28C4">
        <w:rPr>
          <w:rFonts w:ascii="Arial" w:hAnsi="Arial" w:cs="Arial"/>
        </w:rPr>
        <w:br/>
      </w:r>
    </w:p>
    <w:p w14:paraId="61560499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FB4097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3) добыча охотничьих ресурсов - отлов или отстрел охотничьих ресурсов;</w:t>
      </w:r>
      <w:r w:rsidRPr="001B28C4">
        <w:rPr>
          <w:rFonts w:ascii="Arial" w:hAnsi="Arial" w:cs="Arial"/>
        </w:rPr>
        <w:br/>
      </w:r>
    </w:p>
    <w:p w14:paraId="30E9C6FC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837B21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lastRenderedPageBreak/>
        <w:t>4) охота - деятельность, связанная с поиском, выслеживанием, преследованием охотничьих ресурсов, их добычей, первичной переработкой и транспортировкой;</w:t>
      </w:r>
      <w:r w:rsidRPr="001B28C4">
        <w:rPr>
          <w:rFonts w:ascii="Arial" w:hAnsi="Arial" w:cs="Arial"/>
        </w:rPr>
        <w:br/>
      </w:r>
    </w:p>
    <w:p w14:paraId="361762B4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325255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5) промысловая охота - охота, осуществляемая юридическими лицами и индивидуальными предпринимателями в целях заготовки, производства и продажи продукции охоты;</w:t>
      </w:r>
      <w:r w:rsidRPr="001B28C4">
        <w:rPr>
          <w:rFonts w:ascii="Arial" w:hAnsi="Arial" w:cs="Arial"/>
        </w:rPr>
        <w:br/>
      </w:r>
    </w:p>
    <w:p w14:paraId="378D5089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576073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6) любительская и спортивная охота - охота, осуществляемая физическими лицами в целях личного потребления продукции охоты и в рекреационных целях;</w:t>
      </w:r>
      <w:r w:rsidRPr="001B28C4">
        <w:rPr>
          <w:rFonts w:ascii="Arial" w:hAnsi="Arial" w:cs="Arial"/>
        </w:rPr>
        <w:br/>
      </w:r>
    </w:p>
    <w:p w14:paraId="0A1BFCF7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C43365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7) лимит добычи охотничьих ресурсов - объем допустимой годовой добычи охотничьих ресурсов;</w:t>
      </w:r>
      <w:r w:rsidRPr="001B28C4">
        <w:rPr>
          <w:rFonts w:ascii="Arial" w:hAnsi="Arial" w:cs="Arial"/>
        </w:rPr>
        <w:br/>
      </w:r>
    </w:p>
    <w:p w14:paraId="77F49536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0D2BA1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8) квота добычи охотничьих ресурсов - часть лимита добычи охотничьих ресурсов, которая определяется в отношении каждого охотничьего угодья;</w:t>
      </w:r>
      <w:r w:rsidRPr="001B28C4">
        <w:rPr>
          <w:rFonts w:ascii="Arial" w:hAnsi="Arial" w:cs="Arial"/>
        </w:rPr>
        <w:br/>
      </w:r>
    </w:p>
    <w:p w14:paraId="7D4FB8CB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7146F1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9) охотничьи угодья - территории, в границах которых допускается осуществление видов деятельности в сфере охотничьего хозяйства;</w:t>
      </w:r>
      <w:r w:rsidRPr="001B28C4">
        <w:rPr>
          <w:rFonts w:ascii="Arial" w:hAnsi="Arial" w:cs="Arial"/>
        </w:rPr>
        <w:br/>
      </w:r>
    </w:p>
    <w:p w14:paraId="72BB8DD9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3DB93E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10) разрешение на добычу охотничьих ресурсов - документ, удостоверяющий право на добычу охотничьих ресурсов.</w:t>
      </w:r>
      <w:r w:rsidRPr="001B28C4">
        <w:rPr>
          <w:rFonts w:ascii="Arial" w:hAnsi="Arial" w:cs="Arial"/>
        </w:rPr>
        <w:br/>
      </w:r>
    </w:p>
    <w:p w14:paraId="7AF8394A" w14:textId="77777777" w:rsidR="001B28C4" w:rsidRPr="001B28C4" w:rsidRDefault="001B28C4" w:rsidP="001B28C4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B28C4">
        <w:rPr>
          <w:rFonts w:ascii="Arial" w:hAnsi="Arial" w:cs="Arial"/>
          <w:sz w:val="24"/>
          <w:szCs w:val="24"/>
        </w:rPr>
        <w:br/>
      </w:r>
      <w:r w:rsidRPr="001B28C4">
        <w:rPr>
          <w:rFonts w:ascii="Arial" w:hAnsi="Arial" w:cs="Arial"/>
          <w:sz w:val="24"/>
          <w:szCs w:val="24"/>
        </w:rPr>
        <w:br/>
        <w:t>Статья 2. Охотничьи ресурсы</w:t>
      </w:r>
    </w:p>
    <w:p w14:paraId="1FBACDD0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7656D7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1. К охотничьим ресурсам на территории Тамбовской области относятся:</w:t>
      </w:r>
      <w:r w:rsidRPr="001B28C4">
        <w:rPr>
          <w:rFonts w:ascii="Arial" w:hAnsi="Arial" w:cs="Arial"/>
        </w:rPr>
        <w:br/>
      </w:r>
    </w:p>
    <w:p w14:paraId="42EE4B60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CE7079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1) млекопитающие и птицы, предусмотренные частью 1 статьи 11 Федерального закона "Об охоте и о сохранении охотничьих ресурсов и о внесении изменений в отдельные законодательные акты Российской Федерации";</w:t>
      </w:r>
      <w:r w:rsidRPr="001B28C4">
        <w:rPr>
          <w:rFonts w:ascii="Arial" w:hAnsi="Arial" w:cs="Arial"/>
        </w:rPr>
        <w:br/>
      </w:r>
    </w:p>
    <w:p w14:paraId="6CBDC08C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90BEF5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2) птицы - грач, дрозд-рябинник, дрозд-деряба, серая ворона.</w:t>
      </w:r>
      <w:r w:rsidRPr="001B28C4">
        <w:rPr>
          <w:rFonts w:ascii="Arial" w:hAnsi="Arial" w:cs="Arial"/>
        </w:rPr>
        <w:br/>
      </w:r>
    </w:p>
    <w:p w14:paraId="39FA9FD6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D29E9F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(в ред. Закона Тамбовской области от 29.01.2013 N 241-З)</w:t>
      </w:r>
      <w:r w:rsidRPr="001B28C4">
        <w:rPr>
          <w:rFonts w:ascii="Arial" w:hAnsi="Arial" w:cs="Arial"/>
        </w:rPr>
        <w:br/>
      </w:r>
    </w:p>
    <w:p w14:paraId="511C1759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B88627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2. К охотничьим ресурсам, в отношении которых на территории Тамбовской области осуществляется промысловая охота, относятся млекопитающие и птицы, предусмотренные частью 1 настоящей статьи.</w:t>
      </w:r>
      <w:r w:rsidRPr="001B28C4">
        <w:rPr>
          <w:rFonts w:ascii="Arial" w:hAnsi="Arial" w:cs="Arial"/>
        </w:rPr>
        <w:br/>
      </w:r>
    </w:p>
    <w:p w14:paraId="6AFF5152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DF97BF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3. В соответствии с Федеральным законом "Об охоте и сохранении охотничьих ресурсов и о внесении изменений в отдельные законодательные акты Российской Федерации" добыча занесенных в Красную книгу Российской Федерации или Красную книгу Тамбовской области редких и находящихся под угрозой исчезновения охотничьих ресурсов запрещена, за исключением случаев, предусмотренных частью 2 статьи 11.1 Федерального закона "Об охоте и сохранении охотничьих ресурсов и о внесении изменений в отдельные законодательные акты Российской Федерации".</w:t>
      </w:r>
      <w:r w:rsidRPr="001B28C4">
        <w:rPr>
          <w:rFonts w:ascii="Arial" w:hAnsi="Arial" w:cs="Arial"/>
        </w:rPr>
        <w:br/>
      </w:r>
    </w:p>
    <w:p w14:paraId="1FCD5607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6A03A4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(часть 3 в ред. Закона Тамбовской области от 01.11.2021 N 6-З)</w:t>
      </w:r>
      <w:r w:rsidRPr="001B28C4">
        <w:rPr>
          <w:rFonts w:ascii="Arial" w:hAnsi="Arial" w:cs="Arial"/>
        </w:rPr>
        <w:br/>
      </w:r>
    </w:p>
    <w:p w14:paraId="351A6DCA" w14:textId="77777777" w:rsidR="001B28C4" w:rsidRPr="001B28C4" w:rsidRDefault="001B28C4" w:rsidP="001B28C4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B28C4">
        <w:rPr>
          <w:rFonts w:ascii="Arial" w:hAnsi="Arial" w:cs="Arial"/>
          <w:sz w:val="24"/>
          <w:szCs w:val="24"/>
        </w:rPr>
        <w:br/>
      </w:r>
      <w:r w:rsidRPr="001B28C4">
        <w:rPr>
          <w:rFonts w:ascii="Arial" w:hAnsi="Arial" w:cs="Arial"/>
          <w:sz w:val="24"/>
          <w:szCs w:val="24"/>
        </w:rPr>
        <w:br/>
        <w:t>Статья 3. Охотничьи угодья</w:t>
      </w:r>
    </w:p>
    <w:p w14:paraId="51F2B599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72D98E7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1. В границы охотничьих угодий включаются земли, правовой режим которых допускает осуществление видов деятельности в сфере охотничьего хозяйства.</w:t>
      </w:r>
      <w:r w:rsidRPr="001B28C4">
        <w:rPr>
          <w:rFonts w:ascii="Arial" w:hAnsi="Arial" w:cs="Arial"/>
        </w:rPr>
        <w:br/>
      </w:r>
    </w:p>
    <w:p w14:paraId="5B4FCC74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63659E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2. В соответствии с законодательством Российской Федерации общедоступные охотничьи угодья должны составлять не менее чем 20 процентов от общей площади охотничьих угодий Тамбовской области.</w:t>
      </w:r>
      <w:r w:rsidRPr="001B28C4">
        <w:rPr>
          <w:rFonts w:ascii="Arial" w:hAnsi="Arial" w:cs="Arial"/>
        </w:rPr>
        <w:br/>
      </w:r>
    </w:p>
    <w:p w14:paraId="433E3251" w14:textId="77777777" w:rsidR="001B28C4" w:rsidRPr="001B28C4" w:rsidRDefault="001B28C4" w:rsidP="001B28C4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B28C4">
        <w:rPr>
          <w:rFonts w:ascii="Arial" w:hAnsi="Arial" w:cs="Arial"/>
          <w:sz w:val="24"/>
          <w:szCs w:val="24"/>
        </w:rPr>
        <w:br/>
      </w:r>
      <w:r w:rsidRPr="001B28C4">
        <w:rPr>
          <w:rFonts w:ascii="Arial" w:hAnsi="Arial" w:cs="Arial"/>
          <w:sz w:val="24"/>
          <w:szCs w:val="24"/>
        </w:rPr>
        <w:br/>
        <w:t>Статья 4. Виды охоты</w:t>
      </w:r>
    </w:p>
    <w:p w14:paraId="441D380C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FC1068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1. В соответствии с целевым назначением на территории Тамбовской области, за исключением особо охраняемых природных территорий федерального значения, могут осуществляться следующие виды охоты:</w:t>
      </w:r>
      <w:r w:rsidRPr="001B28C4">
        <w:rPr>
          <w:rFonts w:ascii="Arial" w:hAnsi="Arial" w:cs="Arial"/>
        </w:rPr>
        <w:br/>
      </w:r>
    </w:p>
    <w:p w14:paraId="740E3CC5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3E4D59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1) промысловая охота;</w:t>
      </w:r>
      <w:r w:rsidRPr="001B28C4">
        <w:rPr>
          <w:rFonts w:ascii="Arial" w:hAnsi="Arial" w:cs="Arial"/>
        </w:rPr>
        <w:br/>
      </w:r>
    </w:p>
    <w:p w14:paraId="2E2A2BDF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E1CA01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2) любительская и спортивная охота;</w:t>
      </w:r>
      <w:r w:rsidRPr="001B28C4">
        <w:rPr>
          <w:rFonts w:ascii="Arial" w:hAnsi="Arial" w:cs="Arial"/>
        </w:rPr>
        <w:br/>
      </w:r>
    </w:p>
    <w:p w14:paraId="4B0F407C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29B0C3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3) охота в целях осуществления научно-исследовательской деятельности, образовательной деятельности;</w:t>
      </w:r>
      <w:r w:rsidRPr="001B28C4">
        <w:rPr>
          <w:rFonts w:ascii="Arial" w:hAnsi="Arial" w:cs="Arial"/>
        </w:rPr>
        <w:br/>
      </w:r>
    </w:p>
    <w:p w14:paraId="116EE8E8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E9CB5E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4) охота в целях регулирования численности охотничьих ресурсов;</w:t>
      </w:r>
      <w:r w:rsidRPr="001B28C4">
        <w:rPr>
          <w:rFonts w:ascii="Arial" w:hAnsi="Arial" w:cs="Arial"/>
        </w:rPr>
        <w:br/>
      </w:r>
    </w:p>
    <w:p w14:paraId="322BD31B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4E733F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5) охота в целях акклиматизации, переселения и гибридизации охотничьих ресурсов;</w:t>
      </w:r>
      <w:r w:rsidRPr="001B28C4">
        <w:rPr>
          <w:rFonts w:ascii="Arial" w:hAnsi="Arial" w:cs="Arial"/>
        </w:rPr>
        <w:br/>
      </w:r>
    </w:p>
    <w:p w14:paraId="1AA819D2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F35047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lastRenderedPageBreak/>
        <w:t xml:space="preserve">6) охота в целях содержания и разведения охотничьих ресурсов в </w:t>
      </w:r>
      <w:proofErr w:type="spellStart"/>
      <w:r w:rsidRPr="001B28C4">
        <w:rPr>
          <w:rFonts w:ascii="Arial" w:hAnsi="Arial" w:cs="Arial"/>
        </w:rPr>
        <w:t>полувольных</w:t>
      </w:r>
      <w:proofErr w:type="spellEnd"/>
      <w:r w:rsidRPr="001B28C4">
        <w:rPr>
          <w:rFonts w:ascii="Arial" w:hAnsi="Arial" w:cs="Arial"/>
        </w:rPr>
        <w:t xml:space="preserve"> условиях или искусственно созданной среде обитания.</w:t>
      </w:r>
      <w:r w:rsidRPr="001B28C4">
        <w:rPr>
          <w:rFonts w:ascii="Arial" w:hAnsi="Arial" w:cs="Arial"/>
        </w:rPr>
        <w:br/>
      </w:r>
    </w:p>
    <w:p w14:paraId="3A5B761B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CEBA21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 xml:space="preserve">2. Виды охоты, указанные в пунктах </w:t>
      </w:r>
      <w:proofErr w:type="gramStart"/>
      <w:r w:rsidRPr="001B28C4">
        <w:rPr>
          <w:rFonts w:ascii="Arial" w:hAnsi="Arial" w:cs="Arial"/>
        </w:rPr>
        <w:t>1 - 4</w:t>
      </w:r>
      <w:proofErr w:type="gramEnd"/>
      <w:r w:rsidRPr="001B28C4">
        <w:rPr>
          <w:rFonts w:ascii="Arial" w:hAnsi="Arial" w:cs="Arial"/>
        </w:rPr>
        <w:t xml:space="preserve"> части 1 настоящей статьи, осуществляются посредством отлова или отстрела охотничьих ресурсов.</w:t>
      </w:r>
      <w:r w:rsidRPr="001B28C4">
        <w:rPr>
          <w:rFonts w:ascii="Arial" w:hAnsi="Arial" w:cs="Arial"/>
        </w:rPr>
        <w:br/>
      </w:r>
    </w:p>
    <w:p w14:paraId="52C77966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9893018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3. Виды охоты, указанные в пунктах 5 и 6 части 1 настоящей статьи, осуществляются посредством отлова охотничьих ресурсов.</w:t>
      </w:r>
      <w:r w:rsidRPr="001B28C4">
        <w:rPr>
          <w:rFonts w:ascii="Arial" w:hAnsi="Arial" w:cs="Arial"/>
        </w:rPr>
        <w:br/>
      </w:r>
    </w:p>
    <w:p w14:paraId="2F06F418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CEFB5C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4. На основе правил охоты глава администрации Тамбовской области в соответствии со статьей 23.1 Федерального закона "Об охоте и сохранении охотничьих ресурсов и о внесении изменений в отдельные законодательные акты Российской Федерации" определяет виды разрешенной охоты.</w:t>
      </w:r>
      <w:r w:rsidRPr="001B28C4">
        <w:rPr>
          <w:rFonts w:ascii="Arial" w:hAnsi="Arial" w:cs="Arial"/>
        </w:rPr>
        <w:br/>
      </w:r>
    </w:p>
    <w:p w14:paraId="778DCC90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EDAFD8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В случаях, предусмотренных правилами охоты, глава администрации Тамбовской области определяет сроки охоты, допустимые для использования орудия охоты, и иные ограничения охоты.</w:t>
      </w:r>
      <w:r w:rsidRPr="001B28C4">
        <w:rPr>
          <w:rFonts w:ascii="Arial" w:hAnsi="Arial" w:cs="Arial"/>
        </w:rPr>
        <w:br/>
      </w:r>
    </w:p>
    <w:p w14:paraId="5A7FAAF0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CD9F3D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Ограничения охоты в соответствующих охотничьих угодьях, определенные главой администрации Тамбовской области, устанавливаются после их согласования с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охоты и сохранения охотничьих ресурсов.</w:t>
      </w:r>
      <w:r w:rsidRPr="001B28C4">
        <w:rPr>
          <w:rFonts w:ascii="Arial" w:hAnsi="Arial" w:cs="Arial"/>
        </w:rPr>
        <w:br/>
      </w:r>
    </w:p>
    <w:p w14:paraId="6162D022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D794A0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(часть 4 в ред. Закона Тамбовской области от 01.11.2021 N 6-З)</w:t>
      </w:r>
      <w:r w:rsidRPr="001B28C4">
        <w:rPr>
          <w:rFonts w:ascii="Arial" w:hAnsi="Arial" w:cs="Arial"/>
        </w:rPr>
        <w:br/>
      </w:r>
    </w:p>
    <w:p w14:paraId="376D83A9" w14:textId="77777777" w:rsidR="001B28C4" w:rsidRPr="001B28C4" w:rsidRDefault="001B28C4" w:rsidP="001B28C4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B28C4">
        <w:rPr>
          <w:rFonts w:ascii="Arial" w:hAnsi="Arial" w:cs="Arial"/>
          <w:sz w:val="24"/>
          <w:szCs w:val="24"/>
        </w:rPr>
        <w:br/>
      </w:r>
      <w:r w:rsidRPr="001B28C4">
        <w:rPr>
          <w:rFonts w:ascii="Arial" w:hAnsi="Arial" w:cs="Arial"/>
          <w:sz w:val="24"/>
          <w:szCs w:val="24"/>
        </w:rPr>
        <w:br/>
        <w:t>Статья 5. Лимит добычи охотничьих ресурсов и квота их добычи</w:t>
      </w:r>
    </w:p>
    <w:p w14:paraId="7F60B372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D12070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1. Глава администрации Тамбовской области утверждает лимит добычи охотничьих ресурсов для Тамбовской области, за исключением лимитов и квот в отношении охотничьих ресурсов, находящихся на особо охраняемых природных территориях федерального значения, в срок не позднее 1 августа текущего года на период до 1 августа следующего года.</w:t>
      </w:r>
      <w:r w:rsidRPr="001B28C4">
        <w:rPr>
          <w:rFonts w:ascii="Arial" w:hAnsi="Arial" w:cs="Arial"/>
        </w:rPr>
        <w:br/>
      </w:r>
    </w:p>
    <w:p w14:paraId="60D6449F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138319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2. В правовом акте об утверждении лимита добычи охотничьих ресурсов указываются объем изъятия в отношении каждого вида охотничьих ресурсов, при необходимости их пол и возраст, а также квота добычи охотничьих ресурсов для каждого охотничьего угодья.</w:t>
      </w:r>
      <w:r w:rsidRPr="001B28C4">
        <w:rPr>
          <w:rFonts w:ascii="Arial" w:hAnsi="Arial" w:cs="Arial"/>
        </w:rPr>
        <w:br/>
      </w:r>
    </w:p>
    <w:p w14:paraId="629908CF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F3C5EB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 xml:space="preserve">3. Правовой акт об утверждении лимита добычи охотничьих ресурсов должен соответствовать требованиям, установленным уполномоченным федеральным </w:t>
      </w:r>
      <w:r w:rsidRPr="001B28C4">
        <w:rPr>
          <w:rFonts w:ascii="Arial" w:hAnsi="Arial" w:cs="Arial"/>
        </w:rPr>
        <w:lastRenderedPageBreak/>
        <w:t>органом исполнительной власти.</w:t>
      </w:r>
      <w:r w:rsidRPr="001B28C4">
        <w:rPr>
          <w:rFonts w:ascii="Arial" w:hAnsi="Arial" w:cs="Arial"/>
        </w:rPr>
        <w:br/>
      </w:r>
    </w:p>
    <w:p w14:paraId="59FC7E3E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84015E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(часть 3 введена Законом Тамбовской области от 29.01.2018 N 205-З)</w:t>
      </w:r>
      <w:r w:rsidRPr="001B28C4">
        <w:rPr>
          <w:rFonts w:ascii="Arial" w:hAnsi="Arial" w:cs="Arial"/>
        </w:rPr>
        <w:br/>
      </w:r>
    </w:p>
    <w:p w14:paraId="51353BC1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423555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 xml:space="preserve">4. Положения настоящей статьи не распространяются на охотничьи ресурсы, находящиеся в </w:t>
      </w:r>
      <w:proofErr w:type="spellStart"/>
      <w:r w:rsidRPr="001B28C4">
        <w:rPr>
          <w:rFonts w:ascii="Arial" w:hAnsi="Arial" w:cs="Arial"/>
        </w:rPr>
        <w:t>полувольных</w:t>
      </w:r>
      <w:proofErr w:type="spellEnd"/>
      <w:r w:rsidRPr="001B28C4">
        <w:rPr>
          <w:rFonts w:ascii="Arial" w:hAnsi="Arial" w:cs="Arial"/>
        </w:rPr>
        <w:t xml:space="preserve"> условиях и искусственно созданной среде обитания.</w:t>
      </w:r>
      <w:r w:rsidRPr="001B28C4">
        <w:rPr>
          <w:rFonts w:ascii="Arial" w:hAnsi="Arial" w:cs="Arial"/>
        </w:rPr>
        <w:br/>
      </w:r>
    </w:p>
    <w:p w14:paraId="4104A5AB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5455E8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(часть 4 введена Законом Тамбовской области от 01.11.2021 N 6-З)</w:t>
      </w:r>
      <w:r w:rsidRPr="001B28C4">
        <w:rPr>
          <w:rFonts w:ascii="Arial" w:hAnsi="Arial" w:cs="Arial"/>
        </w:rPr>
        <w:br/>
      </w:r>
    </w:p>
    <w:p w14:paraId="40708C62" w14:textId="77777777" w:rsidR="001B28C4" w:rsidRPr="001B28C4" w:rsidRDefault="001B28C4" w:rsidP="001B28C4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B28C4">
        <w:rPr>
          <w:rFonts w:ascii="Arial" w:hAnsi="Arial" w:cs="Arial"/>
          <w:sz w:val="24"/>
          <w:szCs w:val="24"/>
        </w:rPr>
        <w:br/>
      </w:r>
      <w:r w:rsidRPr="001B28C4">
        <w:rPr>
          <w:rFonts w:ascii="Arial" w:hAnsi="Arial" w:cs="Arial"/>
          <w:sz w:val="24"/>
          <w:szCs w:val="24"/>
        </w:rPr>
        <w:br/>
        <w:t>Статья 6. Нормирование в области охоты и сохранения охотничьих ресурсов</w:t>
      </w:r>
    </w:p>
    <w:p w14:paraId="38C6630B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D275DD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Нормы допустимой добычи охотничьих ресурсов, в отношении которых не устанавливается лимит добычи, и нормы пропускной способности охотничьих угодий разрабатываются и утверждаются администрацией Тамбовской области.</w:t>
      </w:r>
      <w:r w:rsidRPr="001B28C4">
        <w:rPr>
          <w:rFonts w:ascii="Arial" w:hAnsi="Arial" w:cs="Arial"/>
        </w:rPr>
        <w:br/>
      </w:r>
    </w:p>
    <w:p w14:paraId="7E006318" w14:textId="77777777" w:rsidR="001B28C4" w:rsidRPr="001B28C4" w:rsidRDefault="001B28C4" w:rsidP="001B28C4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B28C4">
        <w:rPr>
          <w:rFonts w:ascii="Arial" w:hAnsi="Arial" w:cs="Arial"/>
          <w:sz w:val="24"/>
          <w:szCs w:val="24"/>
        </w:rPr>
        <w:br/>
      </w:r>
      <w:r w:rsidRPr="001B28C4">
        <w:rPr>
          <w:rFonts w:ascii="Arial" w:hAnsi="Arial" w:cs="Arial"/>
          <w:sz w:val="24"/>
          <w:szCs w:val="24"/>
        </w:rPr>
        <w:br/>
        <w:t>Статья 7. Порядок распределения разрешений на добычу охотничьих ресурсов между физическими лицами, осуществляющими охоту в общедоступных охотничьих угодьях</w:t>
      </w:r>
    </w:p>
    <w:p w14:paraId="6FE67851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A2AB24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(в ред. Закона Тамбовской области от 10.06.2019 N 350-З)</w:t>
      </w:r>
      <w:r w:rsidRPr="001B28C4">
        <w:rPr>
          <w:rFonts w:ascii="Arial" w:hAnsi="Arial" w:cs="Arial"/>
        </w:rPr>
        <w:br/>
      </w:r>
    </w:p>
    <w:p w14:paraId="368C7DB0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BE9B49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1. Распределение разрешений на добычу охотничьих ресурсов в общедоступных охотничьих угодьях (далее - разрешение) между физическими лицами, у которых возникло право на добычу охотничьих ресурсов в соответствии с Федеральным законом "Об охоте и о сохранении охотничьих ресурсов и о внесении изменений в отдельные законодательные акты Российской Федерации" (далее - охотник), производится специально уполномоченным органом исполнительной власти Тамбовской области по охране, контролю и регулированию использования объектов животного мира и среды их обитания (далее - уполномоченный орган), в пределах утвержденных в установленном порядке лимитов и квот добычи охотничьих ресурсов, норм допустимой добычи охотничьих ресурсов и норм пропускной способности охотничьих угодий.</w:t>
      </w:r>
      <w:r w:rsidRPr="001B28C4">
        <w:rPr>
          <w:rFonts w:ascii="Arial" w:hAnsi="Arial" w:cs="Arial"/>
        </w:rPr>
        <w:br/>
      </w:r>
    </w:p>
    <w:p w14:paraId="19580AE6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1A6E90D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2. Срок начала подачи заявлений на получение разрешения на добычу пушных животных и птиц в общедоступных охотничьих угодьях на предстоящий сезон охоты составляет двадцать календарных дней до установленных сроков охоты.</w:t>
      </w:r>
      <w:r w:rsidRPr="001B28C4">
        <w:rPr>
          <w:rFonts w:ascii="Arial" w:hAnsi="Arial" w:cs="Arial"/>
        </w:rPr>
        <w:br/>
      </w:r>
    </w:p>
    <w:p w14:paraId="5B478D35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012343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 xml:space="preserve">Распределение разрешений на добычу пушных животных и птиц в общедоступных охотничьих угодьях осуществляется в порядке очередности </w:t>
      </w:r>
      <w:r w:rsidRPr="001B28C4">
        <w:rPr>
          <w:rFonts w:ascii="Arial" w:hAnsi="Arial" w:cs="Arial"/>
        </w:rPr>
        <w:lastRenderedPageBreak/>
        <w:t>регистрации в уполномоченном органе заявлений охотников на получение разрешения.</w:t>
      </w:r>
      <w:r w:rsidRPr="001B28C4">
        <w:rPr>
          <w:rFonts w:ascii="Arial" w:hAnsi="Arial" w:cs="Arial"/>
        </w:rPr>
        <w:br/>
      </w:r>
    </w:p>
    <w:p w14:paraId="3DB2A897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FA8E3D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3. Распределение разрешений на добычу копытных животных в общедоступных охотничьих угодьях осуществляется специально созданной комиссией уполномоченного органа (далее - комиссия), в состав которой включаются представители уполномоченного органа, представители органа исполнительной власти области, осуществляющего полномочия в области лесных отношений, представители общественных организаций охотников, представители Общественной палаты Тамбовской области. Положение, персональный состав и порядок работы комиссии утверждаются приказом уполномоченного органа.</w:t>
      </w:r>
      <w:r w:rsidRPr="001B28C4">
        <w:rPr>
          <w:rFonts w:ascii="Arial" w:hAnsi="Arial" w:cs="Arial"/>
        </w:rPr>
        <w:br/>
      </w:r>
    </w:p>
    <w:p w14:paraId="6C2F646B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2C47CB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4. Распределение разрешений на добычу копытных животных в общедоступных охотничьих угодьях осуществляется в следующем порядке:</w:t>
      </w:r>
      <w:r w:rsidRPr="001B28C4">
        <w:rPr>
          <w:rFonts w:ascii="Arial" w:hAnsi="Arial" w:cs="Arial"/>
        </w:rPr>
        <w:br/>
      </w:r>
    </w:p>
    <w:p w14:paraId="4ACB1861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730EC9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1) 50 процентов разрешений распределяется между охотниками, осуществлявшими в течение года, предшествующего началу сезона охоты, участие в мероприятиях:</w:t>
      </w:r>
      <w:r w:rsidRPr="001B28C4">
        <w:rPr>
          <w:rFonts w:ascii="Arial" w:hAnsi="Arial" w:cs="Arial"/>
        </w:rPr>
        <w:br/>
      </w:r>
    </w:p>
    <w:p w14:paraId="150B3526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02BDA8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по определению численности охотничьих ресурсов в общедоступных охотничьих угодьях;</w:t>
      </w:r>
      <w:r w:rsidRPr="001B28C4">
        <w:rPr>
          <w:rFonts w:ascii="Arial" w:hAnsi="Arial" w:cs="Arial"/>
        </w:rPr>
        <w:br/>
      </w:r>
    </w:p>
    <w:p w14:paraId="0632C17B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35514A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по поддержанию и увеличению численности охотничьих ресурсов на территории общедоступных охотничьих угодий;</w:t>
      </w:r>
      <w:r w:rsidRPr="001B28C4">
        <w:rPr>
          <w:rFonts w:ascii="Arial" w:hAnsi="Arial" w:cs="Arial"/>
        </w:rPr>
        <w:br/>
      </w:r>
    </w:p>
    <w:p w14:paraId="6C7C7A44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6B829A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2) 50 процентов разрешений распределяется между иными охотниками.</w:t>
      </w:r>
      <w:r w:rsidRPr="001B28C4">
        <w:rPr>
          <w:rFonts w:ascii="Arial" w:hAnsi="Arial" w:cs="Arial"/>
        </w:rPr>
        <w:br/>
      </w:r>
    </w:p>
    <w:p w14:paraId="7D7E508B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E4D569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5. Охотники, указанные в пункте 1 части 4 настоящей статьи, определяются уполномоченным органом на основании имеющихся у уполномоченного органа следующих документов:</w:t>
      </w:r>
      <w:r w:rsidRPr="001B28C4">
        <w:rPr>
          <w:rFonts w:ascii="Arial" w:hAnsi="Arial" w:cs="Arial"/>
        </w:rPr>
        <w:br/>
      </w:r>
    </w:p>
    <w:p w14:paraId="72DC1327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D7C2AA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по определению численности охотничьих ресурсов в общедоступных охотничьих угодьях - на основании учетных карточек и ведомостей соответствующих учетов;</w:t>
      </w:r>
      <w:r w:rsidRPr="001B28C4">
        <w:rPr>
          <w:rFonts w:ascii="Arial" w:hAnsi="Arial" w:cs="Arial"/>
        </w:rPr>
        <w:br/>
      </w:r>
    </w:p>
    <w:p w14:paraId="1353EB92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81049A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 xml:space="preserve">по поддержанию и увеличению численности охотничьих ресурсов на территории общедоступных охотничьих угодий - на основании подписанных должностным лицом уполномоченного органа (подведомственного этому органу государственного учреждения) и охотником актов о проведении мероприятий по подкормке охотничьих ресурсов в общедоступных охотничьих угодьях в соответствии с заключенным между уполномоченным органом (подведомственным этому органу государственным учреждением) и охотником </w:t>
      </w:r>
      <w:r w:rsidRPr="001B28C4">
        <w:rPr>
          <w:rFonts w:ascii="Arial" w:hAnsi="Arial" w:cs="Arial"/>
        </w:rPr>
        <w:lastRenderedPageBreak/>
        <w:t>договором.</w:t>
      </w:r>
      <w:r w:rsidRPr="001B28C4">
        <w:rPr>
          <w:rFonts w:ascii="Arial" w:hAnsi="Arial" w:cs="Arial"/>
        </w:rPr>
        <w:br/>
      </w:r>
    </w:p>
    <w:p w14:paraId="119A4324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0E8295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Форма указанных в настоящей части актов о проведении мероприятий по подкормке охотничьих ресурсов утверждается уполномоченным органом.</w:t>
      </w:r>
      <w:r w:rsidRPr="001B28C4">
        <w:rPr>
          <w:rFonts w:ascii="Arial" w:hAnsi="Arial" w:cs="Arial"/>
        </w:rPr>
        <w:br/>
      </w:r>
    </w:p>
    <w:p w14:paraId="55B48B68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550999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6. Охотники, указанные в пункте 1 части 4 настоящей статьи, могут претендовать на получение следующих разрешений на добычу копытных животных в общедоступных охотничьих угодьях:</w:t>
      </w:r>
      <w:r w:rsidRPr="001B28C4">
        <w:rPr>
          <w:rFonts w:ascii="Arial" w:hAnsi="Arial" w:cs="Arial"/>
        </w:rPr>
        <w:br/>
      </w:r>
    </w:p>
    <w:p w14:paraId="7B5DECDF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55335A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1) принимавшие участие в одном из мероприятий, указанных в пункте 1 части 4 настоящей статьи - одно разрешение на добычу кабана в возрасте до одного года или одно разрешение на добычу косули европейской (взрослой или в возрасте до одного года);</w:t>
      </w:r>
      <w:r w:rsidRPr="001B28C4">
        <w:rPr>
          <w:rFonts w:ascii="Arial" w:hAnsi="Arial" w:cs="Arial"/>
        </w:rPr>
        <w:br/>
      </w:r>
    </w:p>
    <w:p w14:paraId="289FE5C7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3ED438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2) принимавшие участие в двух мероприятиях из указанных в пункте 1 части 4 настоящей статьи - одно разрешение на добычу косули европейской (взрослой или в возрасте до одного года) или одно разрешение на добычу кабана (взрослого или в возрасте до одного года), или одно разрешение на добычу лося (взрослого или в возрасте до одного года).</w:t>
      </w:r>
      <w:r w:rsidRPr="001B28C4">
        <w:rPr>
          <w:rFonts w:ascii="Arial" w:hAnsi="Arial" w:cs="Arial"/>
        </w:rPr>
        <w:br/>
      </w:r>
    </w:p>
    <w:p w14:paraId="1A60226A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5150D94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Если количество заявок на участие в распределении разрешений на добычу копытных животных в общедоступных охотничьих угодьях, поступивших от охотников, принимавших участие в проведении мероприятий, указанных в пункте 1 части 4 настоящей статьи, превышает количество подлежащих распределению разрешений, комиссия распределяет разрешения в порядке очередности исходя из даты и времени подачи заявок такими охотниками.</w:t>
      </w:r>
      <w:r w:rsidRPr="001B28C4">
        <w:rPr>
          <w:rFonts w:ascii="Arial" w:hAnsi="Arial" w:cs="Arial"/>
        </w:rPr>
        <w:br/>
      </w:r>
    </w:p>
    <w:p w14:paraId="43B6D523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1B689E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7. Распределение разрешений на добычу копытных животных в общедоступных охотничьих угодьях между охотниками, указанными в пункте 2 части 4 настоящей статьи, осуществляется комиссией в порядке очередности исходя из даты и времени подачи заявок.</w:t>
      </w:r>
      <w:r w:rsidRPr="001B28C4">
        <w:rPr>
          <w:rFonts w:ascii="Arial" w:hAnsi="Arial" w:cs="Arial"/>
        </w:rPr>
        <w:br/>
      </w:r>
    </w:p>
    <w:p w14:paraId="2E896B7D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ED5813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8. В целях обеспечения равных возможностей физических лиц для доступа к охотничьим ресурсам распределение разрешений на добычу лося, косули европейской и кабана осуществляется из расчета одно разрешение одному заявителю на каждый из указанных видов охотничьих ресурсов.</w:t>
      </w:r>
      <w:r w:rsidRPr="001B28C4">
        <w:rPr>
          <w:rFonts w:ascii="Arial" w:hAnsi="Arial" w:cs="Arial"/>
        </w:rPr>
        <w:br/>
      </w:r>
    </w:p>
    <w:p w14:paraId="7458BD8C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6C8C3D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9. Уполномоченный орган ежегодно, не позднее чем за тридцать календарных дней до начала открытия сезона охоты на копытных животных, размещает в средствах массовой информации, являющихся источником официального опубликования нормативных правовых актов области, а также на сайте уполномоченного органа в информационно-телекоммуникационной сети "Интернет" сведения:</w:t>
      </w:r>
      <w:r w:rsidRPr="001B28C4">
        <w:rPr>
          <w:rFonts w:ascii="Arial" w:hAnsi="Arial" w:cs="Arial"/>
        </w:rPr>
        <w:br/>
      </w:r>
    </w:p>
    <w:p w14:paraId="5E4CB4AF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BC8414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1) о месте, датах и времени начала и окончания приема заявок на участие в распределении разрешений на добычу копытных животных в общедоступных охотничьих угодьях;</w:t>
      </w:r>
      <w:r w:rsidRPr="001B28C4">
        <w:rPr>
          <w:rFonts w:ascii="Arial" w:hAnsi="Arial" w:cs="Arial"/>
        </w:rPr>
        <w:br/>
      </w:r>
    </w:p>
    <w:p w14:paraId="3E23B953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89789F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 xml:space="preserve">2) об общедоступных охотничьих угодьях, на добычу </w:t>
      </w:r>
      <w:proofErr w:type="gramStart"/>
      <w:r w:rsidRPr="001B28C4">
        <w:rPr>
          <w:rFonts w:ascii="Arial" w:hAnsi="Arial" w:cs="Arial"/>
        </w:rPr>
        <w:t>копытных животных</w:t>
      </w:r>
      <w:proofErr w:type="gramEnd"/>
      <w:r w:rsidRPr="001B28C4">
        <w:rPr>
          <w:rFonts w:ascii="Arial" w:hAnsi="Arial" w:cs="Arial"/>
        </w:rPr>
        <w:t xml:space="preserve"> в которых будут выдаваться разрешения;</w:t>
      </w:r>
      <w:r w:rsidRPr="001B28C4">
        <w:rPr>
          <w:rFonts w:ascii="Arial" w:hAnsi="Arial" w:cs="Arial"/>
        </w:rPr>
        <w:br/>
      </w:r>
    </w:p>
    <w:p w14:paraId="63E552F0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AB9FAB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3) о количестве копытных животных, на добычу которых будут выдаваться разрешения охотникам, указанным в пунктах 1 и 2 части 4 настоящей статьи.</w:t>
      </w:r>
      <w:r w:rsidRPr="001B28C4">
        <w:rPr>
          <w:rFonts w:ascii="Arial" w:hAnsi="Arial" w:cs="Arial"/>
        </w:rPr>
        <w:br/>
      </w:r>
    </w:p>
    <w:p w14:paraId="26196533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4C1598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10. Заявка на участие в распределении разрешений на добычу копытных животных в общедоступных охотничьих угодьях (далее - заявка) должна содержать:</w:t>
      </w:r>
      <w:r w:rsidRPr="001B28C4">
        <w:rPr>
          <w:rFonts w:ascii="Arial" w:hAnsi="Arial" w:cs="Arial"/>
        </w:rPr>
        <w:br/>
      </w:r>
    </w:p>
    <w:p w14:paraId="7CE5274E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E21D949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1) наименование уполномоченного органа, в который подается заявка;</w:t>
      </w:r>
      <w:r w:rsidRPr="001B28C4">
        <w:rPr>
          <w:rFonts w:ascii="Arial" w:hAnsi="Arial" w:cs="Arial"/>
        </w:rPr>
        <w:br/>
      </w:r>
    </w:p>
    <w:p w14:paraId="7399D2C2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374573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 xml:space="preserve">2) фамилию, имя, отчество и </w:t>
      </w:r>
      <w:proofErr w:type="gramStart"/>
      <w:r w:rsidRPr="001B28C4">
        <w:rPr>
          <w:rFonts w:ascii="Arial" w:hAnsi="Arial" w:cs="Arial"/>
        </w:rPr>
        <w:t>адрес места жительства</w:t>
      </w:r>
      <w:proofErr w:type="gramEnd"/>
      <w:r w:rsidRPr="001B28C4">
        <w:rPr>
          <w:rFonts w:ascii="Arial" w:hAnsi="Arial" w:cs="Arial"/>
        </w:rPr>
        <w:t xml:space="preserve"> заявителя;</w:t>
      </w:r>
      <w:r w:rsidRPr="001B28C4">
        <w:rPr>
          <w:rFonts w:ascii="Arial" w:hAnsi="Arial" w:cs="Arial"/>
        </w:rPr>
        <w:br/>
      </w:r>
    </w:p>
    <w:p w14:paraId="3670390D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A496D56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3) серию, номер и дату выдачи охотничьего билета;</w:t>
      </w:r>
      <w:r w:rsidRPr="001B28C4">
        <w:rPr>
          <w:rFonts w:ascii="Arial" w:hAnsi="Arial" w:cs="Arial"/>
        </w:rPr>
        <w:br/>
      </w:r>
    </w:p>
    <w:p w14:paraId="3DF425E7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5EE875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4) способ связи с заявителем;</w:t>
      </w:r>
      <w:r w:rsidRPr="001B28C4">
        <w:rPr>
          <w:rFonts w:ascii="Arial" w:hAnsi="Arial" w:cs="Arial"/>
        </w:rPr>
        <w:br/>
      </w:r>
    </w:p>
    <w:p w14:paraId="0608ACAB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D4DFA2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5) вид и возраст предполагаемого к добыче копытного животного;</w:t>
      </w:r>
      <w:r w:rsidRPr="001B28C4">
        <w:rPr>
          <w:rFonts w:ascii="Arial" w:hAnsi="Arial" w:cs="Arial"/>
        </w:rPr>
        <w:br/>
      </w:r>
    </w:p>
    <w:p w14:paraId="22941695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33059B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6) место и сроки предполагаемой добычи копытного животного.</w:t>
      </w:r>
      <w:r w:rsidRPr="001B28C4">
        <w:rPr>
          <w:rFonts w:ascii="Arial" w:hAnsi="Arial" w:cs="Arial"/>
        </w:rPr>
        <w:br/>
      </w:r>
    </w:p>
    <w:p w14:paraId="0E6ADCFC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AC6293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Форма заявки утверждается уполномоченным органом. Заявка может быть подана охотником одним из следующих способов:</w:t>
      </w:r>
      <w:r w:rsidRPr="001B28C4">
        <w:rPr>
          <w:rFonts w:ascii="Arial" w:hAnsi="Arial" w:cs="Arial"/>
        </w:rPr>
        <w:br/>
      </w:r>
    </w:p>
    <w:p w14:paraId="544E6FA0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01D3F3D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1) через многофункциональные центры предоставления государственных и муниципальных услуг;</w:t>
      </w:r>
      <w:r w:rsidRPr="001B28C4">
        <w:rPr>
          <w:rFonts w:ascii="Arial" w:hAnsi="Arial" w:cs="Arial"/>
        </w:rPr>
        <w:br/>
      </w:r>
    </w:p>
    <w:p w14:paraId="5D0FF980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E38462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2) в электронном виде с использованием информационно-телекоммуникационной сети "Интернет" на портале государственных и муниципальных услуг или на официальном сайте уполномоченного органа.</w:t>
      </w:r>
      <w:r w:rsidRPr="001B28C4">
        <w:rPr>
          <w:rFonts w:ascii="Arial" w:hAnsi="Arial" w:cs="Arial"/>
        </w:rPr>
        <w:br/>
      </w:r>
    </w:p>
    <w:p w14:paraId="5B5A781F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BF12E8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 xml:space="preserve">Одно физическое лицо может подать только одну заявку в отношении копытного животного каждого вида. В случае подачи одним лицом нескольких </w:t>
      </w:r>
      <w:r w:rsidRPr="001B28C4">
        <w:rPr>
          <w:rFonts w:ascii="Arial" w:hAnsi="Arial" w:cs="Arial"/>
        </w:rPr>
        <w:lastRenderedPageBreak/>
        <w:t>заявок рассматривается заявка, поступившая ранее других.</w:t>
      </w:r>
      <w:r w:rsidRPr="001B28C4">
        <w:rPr>
          <w:rFonts w:ascii="Arial" w:hAnsi="Arial" w:cs="Arial"/>
        </w:rPr>
        <w:br/>
      </w:r>
    </w:p>
    <w:p w14:paraId="1545195D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EAB86A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Срок подачи заявок составляет десять календарных дней.</w:t>
      </w:r>
      <w:r w:rsidRPr="001B28C4">
        <w:rPr>
          <w:rFonts w:ascii="Arial" w:hAnsi="Arial" w:cs="Arial"/>
        </w:rPr>
        <w:br/>
      </w:r>
    </w:p>
    <w:p w14:paraId="45B173C1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B28443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11. Уполномоченный орган отказывает охотнику в допуске к участию в распределении разрешений на добычу копытных животных в общедоступных охотничьих угодьях в случаях:</w:t>
      </w:r>
      <w:r w:rsidRPr="001B28C4">
        <w:rPr>
          <w:rFonts w:ascii="Arial" w:hAnsi="Arial" w:cs="Arial"/>
        </w:rPr>
        <w:br/>
      </w:r>
    </w:p>
    <w:p w14:paraId="3288CD51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396123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1) подачи заявки неуполномоченным лицом;</w:t>
      </w:r>
      <w:r w:rsidRPr="001B28C4">
        <w:rPr>
          <w:rFonts w:ascii="Arial" w:hAnsi="Arial" w:cs="Arial"/>
        </w:rPr>
        <w:br/>
      </w:r>
    </w:p>
    <w:p w14:paraId="455044D8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6DF719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2) отсутствие в заявке сведений, указанных в части 10 настоящей статьи, либо несоответствие заявки утвержденной форме;</w:t>
      </w:r>
      <w:r w:rsidRPr="001B28C4">
        <w:rPr>
          <w:rFonts w:ascii="Arial" w:hAnsi="Arial" w:cs="Arial"/>
        </w:rPr>
        <w:br/>
      </w:r>
    </w:p>
    <w:p w14:paraId="1CAD51C0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025FA28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3) указания в заявке недостоверных сведений;</w:t>
      </w:r>
      <w:r w:rsidRPr="001B28C4">
        <w:rPr>
          <w:rFonts w:ascii="Arial" w:hAnsi="Arial" w:cs="Arial"/>
        </w:rPr>
        <w:br/>
      </w:r>
    </w:p>
    <w:p w14:paraId="0BFAAE58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FF2955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4) нарушения срока подачи заявки;</w:t>
      </w:r>
      <w:r w:rsidRPr="001B28C4">
        <w:rPr>
          <w:rFonts w:ascii="Arial" w:hAnsi="Arial" w:cs="Arial"/>
        </w:rPr>
        <w:br/>
      </w:r>
    </w:p>
    <w:p w14:paraId="19E160AC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466233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5) подачи заявки в отношении медведей, пушных животных или птиц.</w:t>
      </w:r>
      <w:r w:rsidRPr="001B28C4">
        <w:rPr>
          <w:rFonts w:ascii="Arial" w:hAnsi="Arial" w:cs="Arial"/>
        </w:rPr>
        <w:br/>
      </w:r>
    </w:p>
    <w:p w14:paraId="053235D1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474CFE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Уполномоченный орган уведомляет заявителя способом, указанным в его заявке, о допуске или об отказе в допуске к участию в распределении разрешений на добычу копытных животных в общедоступных охотничьих угодьях в течение пяти дней с момента регистрации заявки в уполномоченном органе.</w:t>
      </w:r>
      <w:r w:rsidRPr="001B28C4">
        <w:rPr>
          <w:rFonts w:ascii="Arial" w:hAnsi="Arial" w:cs="Arial"/>
        </w:rPr>
        <w:br/>
      </w:r>
    </w:p>
    <w:p w14:paraId="3461A3B6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D24546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12. В случае если количество заявок в отношении охотничьего угодья не превышает квоту добычи копытных животных, разрешения на добычу копытных животных в данном охотничьем угодье распределяются между охотниками, подавшими заявки, в порядке очередности регистрации заявок в уполномоченном органе.</w:t>
      </w:r>
      <w:r w:rsidRPr="001B28C4">
        <w:rPr>
          <w:rFonts w:ascii="Arial" w:hAnsi="Arial" w:cs="Arial"/>
        </w:rPr>
        <w:br/>
      </w:r>
    </w:p>
    <w:p w14:paraId="3DB86532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0F160A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13. Распределение разрешений на добычу копытных животных в общедоступных охотничьих угодьях проводится не позднее чем за пятнадцать дней до начала открытия сезона охоты. Если дата приходится на выходной или праздничный день, то распределение разрешений проводится в следующий за ними рабочий день.</w:t>
      </w:r>
      <w:r w:rsidRPr="001B28C4">
        <w:rPr>
          <w:rFonts w:ascii="Arial" w:hAnsi="Arial" w:cs="Arial"/>
        </w:rPr>
        <w:br/>
      </w:r>
    </w:p>
    <w:p w14:paraId="6BCD6688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E354A2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14. Количество распределенных между охотниками разрешений не должно превышать утвержденную квоту добычи копытных животных.</w:t>
      </w:r>
      <w:r w:rsidRPr="001B28C4">
        <w:rPr>
          <w:rFonts w:ascii="Arial" w:hAnsi="Arial" w:cs="Arial"/>
        </w:rPr>
        <w:br/>
      </w:r>
    </w:p>
    <w:p w14:paraId="4932B3FA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2F5197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lastRenderedPageBreak/>
        <w:t>15. По окончании проведения распределения разрешений составляется протокол, который подписывается членами комиссии, принимавшими участие в заседании комиссии. В протоколе указываются:</w:t>
      </w:r>
      <w:r w:rsidRPr="001B28C4">
        <w:rPr>
          <w:rFonts w:ascii="Arial" w:hAnsi="Arial" w:cs="Arial"/>
        </w:rPr>
        <w:br/>
      </w:r>
    </w:p>
    <w:p w14:paraId="6759EA8A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87A46B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1) наименование охотничьего угодья, утвержденная квота добычи копытных животных, количество допущенных к распределению разрешений заявок;</w:t>
      </w:r>
      <w:r w:rsidRPr="001B28C4">
        <w:rPr>
          <w:rFonts w:ascii="Arial" w:hAnsi="Arial" w:cs="Arial"/>
        </w:rPr>
        <w:br/>
      </w:r>
    </w:p>
    <w:p w14:paraId="11BB997B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FBB9DB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2) сведения об охотниках, которые приобрели право на получение разрешения на добычу охотничьих ресурсов по результатам проведения распределения разрешений.</w:t>
      </w:r>
      <w:r w:rsidRPr="001B28C4">
        <w:rPr>
          <w:rFonts w:ascii="Arial" w:hAnsi="Arial" w:cs="Arial"/>
        </w:rPr>
        <w:br/>
      </w:r>
    </w:p>
    <w:p w14:paraId="2815ECEA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2E8520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16. Охотники, подавшие заявки на участие в распределении разрешений на добычу копытных животных в общедоступных охотничьих угодьях, уведомляются о результатах рассмотрения их заявок уполномоченным органом в письменном виде или иным указанным охотником в его заявке способом в течение трех рабочих дней со дня оформления протокола проведения распределения разрешений.</w:t>
      </w:r>
      <w:r w:rsidRPr="001B28C4">
        <w:rPr>
          <w:rFonts w:ascii="Arial" w:hAnsi="Arial" w:cs="Arial"/>
        </w:rPr>
        <w:br/>
      </w:r>
    </w:p>
    <w:p w14:paraId="4FB61EB3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C49F75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17. Охотники, которым по результатам распределения разрешений на добычу копытных животных в общедоступных охотничьих угодьях распределены разрешения, вправе получить их на соответствующий вид охотничьего ресурса в порядке, установленном федеральным законодательством.</w:t>
      </w:r>
      <w:r w:rsidRPr="001B28C4">
        <w:rPr>
          <w:rFonts w:ascii="Arial" w:hAnsi="Arial" w:cs="Arial"/>
        </w:rPr>
        <w:br/>
      </w:r>
    </w:p>
    <w:p w14:paraId="4A260A98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7140D0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18. В случае если по итогам проведенного распределения остаются нераспределенные разрешения, уполномоченный орган в срок не позднее чем за десять календарных дней до начала открытия сезона охоты на копытных животных размещает на своем официальном сайте в информационно-телекоммуникационной сети "Интернет" сведения о количестве нераспределенных разрешений (с указанием охотничьих угодий), о порядке и способах подачи заявлений на добычу копытных животных в общедоступных охотничьих угодьях.</w:t>
      </w:r>
      <w:r w:rsidRPr="001B28C4">
        <w:rPr>
          <w:rFonts w:ascii="Arial" w:hAnsi="Arial" w:cs="Arial"/>
        </w:rPr>
        <w:br/>
      </w:r>
    </w:p>
    <w:p w14:paraId="03D02C01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34DDEE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Распределение разрешений на добычу копытных животных в общедоступных охотничьих угодьях в данном случае осуществляется в порядке очередности регистрации в уполномоченном органе заявлений охотников на получение разрешения.</w:t>
      </w:r>
    </w:p>
    <w:p w14:paraId="5B32DCCF" w14:textId="77777777" w:rsidR="001B28C4" w:rsidRPr="001B28C4" w:rsidRDefault="001B28C4" w:rsidP="001B28C4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br/>
        <w:t>Статья 8. Утратила силу. - Закон Тамбовской области от 29.01.2018 N 205-З.</w:t>
      </w:r>
    </w:p>
    <w:p w14:paraId="494DD9E0" w14:textId="77777777" w:rsidR="001B28C4" w:rsidRPr="001B28C4" w:rsidRDefault="001B28C4" w:rsidP="001B28C4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B28C4">
        <w:rPr>
          <w:rFonts w:ascii="Arial" w:hAnsi="Arial" w:cs="Arial"/>
          <w:sz w:val="24"/>
          <w:szCs w:val="24"/>
        </w:rPr>
        <w:br/>
      </w:r>
      <w:r w:rsidRPr="001B28C4">
        <w:rPr>
          <w:rFonts w:ascii="Arial" w:hAnsi="Arial" w:cs="Arial"/>
          <w:sz w:val="24"/>
          <w:szCs w:val="24"/>
        </w:rPr>
        <w:br/>
        <w:t>Статья 9. Приведение правовых актов Тамбовской области в соответствие с настоящим Законом</w:t>
      </w:r>
    </w:p>
    <w:p w14:paraId="4AAC36B3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BB4014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Признать утратившими силу со дня вступления в силу настоящего Закона:</w:t>
      </w:r>
      <w:r w:rsidRPr="001B28C4">
        <w:rPr>
          <w:rFonts w:ascii="Arial" w:hAnsi="Arial" w:cs="Arial"/>
        </w:rPr>
        <w:br/>
      </w:r>
    </w:p>
    <w:p w14:paraId="69960AF1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2EAAEC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1) Закон Тамбовской области от 28 ноября 2001 года N 228-З "Об охоте и охотничьем хозяйстве в Тамбовской области" (газета "Тамбовская жизнь", 2001, 14 декабря);</w:t>
      </w:r>
      <w:r w:rsidRPr="001B28C4">
        <w:rPr>
          <w:rFonts w:ascii="Arial" w:hAnsi="Arial" w:cs="Arial"/>
        </w:rPr>
        <w:br/>
      </w:r>
    </w:p>
    <w:p w14:paraId="656004BC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FA29ACE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2) Закон Тамбовской области от 11 октября 2002 года N 57-З "О внесении изменений в статью 34 Закона Тамбовской области "Об охоте и охотничьем хозяйстве в Тамбовской области" (газета "Тамбовская жизнь", 2002, 1 ноября).</w:t>
      </w:r>
      <w:r w:rsidRPr="001B28C4">
        <w:rPr>
          <w:rFonts w:ascii="Arial" w:hAnsi="Arial" w:cs="Arial"/>
        </w:rPr>
        <w:br/>
      </w:r>
    </w:p>
    <w:p w14:paraId="0C19AA01" w14:textId="77777777" w:rsidR="001B28C4" w:rsidRPr="001B28C4" w:rsidRDefault="001B28C4" w:rsidP="001B28C4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B28C4">
        <w:rPr>
          <w:rFonts w:ascii="Arial" w:hAnsi="Arial" w:cs="Arial"/>
          <w:sz w:val="24"/>
          <w:szCs w:val="24"/>
        </w:rPr>
        <w:br/>
      </w:r>
      <w:r w:rsidRPr="001B28C4">
        <w:rPr>
          <w:rFonts w:ascii="Arial" w:hAnsi="Arial" w:cs="Arial"/>
          <w:sz w:val="24"/>
          <w:szCs w:val="24"/>
        </w:rPr>
        <w:br/>
        <w:t>Статья 10. Вступление в силу настоящего Закона</w:t>
      </w:r>
    </w:p>
    <w:p w14:paraId="4F9BA1AF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968EB1" w14:textId="77777777" w:rsidR="001B28C4" w:rsidRPr="001B28C4" w:rsidRDefault="001B28C4" w:rsidP="001B28C4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Настоящий Закон вступает в силу через 10 дней после дня его официального опубликования.</w:t>
      </w:r>
      <w:r w:rsidRPr="001B28C4">
        <w:rPr>
          <w:rFonts w:ascii="Arial" w:hAnsi="Arial" w:cs="Arial"/>
        </w:rPr>
        <w:br/>
      </w:r>
    </w:p>
    <w:p w14:paraId="4AECE727" w14:textId="77777777" w:rsidR="001B28C4" w:rsidRPr="001B28C4" w:rsidRDefault="001B28C4" w:rsidP="001B28C4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br/>
      </w:r>
      <w:r w:rsidRPr="001B28C4">
        <w:rPr>
          <w:rFonts w:ascii="Arial" w:hAnsi="Arial" w:cs="Arial"/>
        </w:rPr>
        <w:br/>
        <w:t>Глава администрации области</w:t>
      </w:r>
      <w:r w:rsidRPr="001B28C4">
        <w:rPr>
          <w:rFonts w:ascii="Arial" w:hAnsi="Arial" w:cs="Arial"/>
        </w:rPr>
        <w:br/>
      </w:r>
      <w:proofErr w:type="spellStart"/>
      <w:r w:rsidRPr="001B28C4">
        <w:rPr>
          <w:rFonts w:ascii="Arial" w:hAnsi="Arial" w:cs="Arial"/>
        </w:rPr>
        <w:t>О.И.Бетин</w:t>
      </w:r>
      <w:proofErr w:type="spellEnd"/>
    </w:p>
    <w:p w14:paraId="7D6CAE9D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73A902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г. Тамбов</w:t>
      </w:r>
    </w:p>
    <w:p w14:paraId="692781D3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23 июля 2010 года</w:t>
      </w:r>
    </w:p>
    <w:p w14:paraId="2BAC5C29" w14:textId="77777777" w:rsidR="001B28C4" w:rsidRPr="001B28C4" w:rsidRDefault="001B28C4" w:rsidP="001B28C4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1B28C4">
        <w:rPr>
          <w:rFonts w:ascii="Arial" w:hAnsi="Arial" w:cs="Arial"/>
        </w:rPr>
        <w:t>N 680-З</w:t>
      </w:r>
    </w:p>
    <w:p w14:paraId="0E5868F0" w14:textId="77777777" w:rsidR="001B28C4" w:rsidRPr="001B28C4" w:rsidRDefault="001B28C4" w:rsidP="001B28C4"/>
    <w:p w14:paraId="345CC7CD" w14:textId="77777777" w:rsidR="00550B83" w:rsidRPr="001B28C4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B28C4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1B28C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B28C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1B28C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