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495E0D" w:rsidRPr="00495E0D" w:rsidRDefault="00495E0D" w:rsidP="00495E0D">
      <w:pPr>
        <w:jc w:val="center"/>
        <w:rPr>
          <w:rFonts w:ascii="Times New Roman" w:hAnsi="Times New Roman" w:cs="Times New Roman"/>
          <w:b/>
          <w:sz w:val="24"/>
          <w:szCs w:val="24"/>
        </w:rPr>
      </w:pPr>
      <w:r w:rsidRPr="00495E0D">
        <w:rPr>
          <w:rFonts w:ascii="Times New Roman" w:hAnsi="Times New Roman" w:cs="Times New Roman"/>
          <w:b/>
          <w:sz w:val="24"/>
          <w:szCs w:val="24"/>
        </w:rPr>
        <w:t>ОБ УТВЕРЖДЕНИИ ПОРЯДКА ОХРАНЫ ЗЕЛЕНЫХ НАСАЖДЕНИЙ В НАСЕЛЕННЫХ ПУНКТАХ РЕСПУБЛИКИ ДАГЕСТАН</w:t>
      </w:r>
    </w:p>
    <w:p w:rsidR="00495E0D" w:rsidRPr="00495E0D" w:rsidRDefault="00495E0D" w:rsidP="00495E0D">
      <w:pPr>
        <w:jc w:val="center"/>
        <w:rPr>
          <w:rFonts w:ascii="Times New Roman" w:hAnsi="Times New Roman" w:cs="Times New Roman"/>
          <w:b/>
          <w:sz w:val="24"/>
          <w:szCs w:val="24"/>
        </w:rPr>
      </w:pPr>
    </w:p>
    <w:p w:rsidR="00495E0D" w:rsidRPr="00495E0D" w:rsidRDefault="00495E0D" w:rsidP="00495E0D">
      <w:pPr>
        <w:jc w:val="center"/>
        <w:rPr>
          <w:rFonts w:ascii="Times New Roman" w:hAnsi="Times New Roman" w:cs="Times New Roman"/>
          <w:sz w:val="24"/>
          <w:szCs w:val="24"/>
        </w:rPr>
      </w:pPr>
      <w:r w:rsidRPr="00495E0D">
        <w:rPr>
          <w:rFonts w:ascii="Times New Roman" w:hAnsi="Times New Roman" w:cs="Times New Roman"/>
          <w:sz w:val="24"/>
          <w:szCs w:val="24"/>
        </w:rPr>
        <w:t>ПРАВИТЕЛЬСТВО РЕСПУБЛИКИ ДАГЕСТАН</w:t>
      </w:r>
    </w:p>
    <w:p w:rsidR="00495E0D" w:rsidRPr="00495E0D" w:rsidRDefault="00495E0D" w:rsidP="00495E0D">
      <w:pPr>
        <w:jc w:val="center"/>
        <w:rPr>
          <w:rFonts w:ascii="Times New Roman" w:hAnsi="Times New Roman" w:cs="Times New Roman"/>
          <w:sz w:val="24"/>
          <w:szCs w:val="24"/>
        </w:rPr>
      </w:pPr>
    </w:p>
    <w:p w:rsidR="00495E0D" w:rsidRPr="00495E0D" w:rsidRDefault="00495E0D" w:rsidP="00495E0D">
      <w:pPr>
        <w:jc w:val="center"/>
        <w:rPr>
          <w:rFonts w:ascii="Times New Roman" w:hAnsi="Times New Roman" w:cs="Times New Roman"/>
          <w:sz w:val="24"/>
          <w:szCs w:val="24"/>
        </w:rPr>
      </w:pPr>
      <w:r w:rsidRPr="00495E0D">
        <w:rPr>
          <w:rFonts w:ascii="Times New Roman" w:hAnsi="Times New Roman" w:cs="Times New Roman"/>
          <w:sz w:val="24"/>
          <w:szCs w:val="24"/>
        </w:rPr>
        <w:t>ПОСТАНОВЛЕНИЕ</w:t>
      </w:r>
    </w:p>
    <w:p w:rsidR="00495E0D" w:rsidRPr="00495E0D" w:rsidRDefault="00495E0D" w:rsidP="00495E0D">
      <w:pPr>
        <w:jc w:val="center"/>
        <w:rPr>
          <w:rFonts w:ascii="Times New Roman" w:hAnsi="Times New Roman" w:cs="Times New Roman"/>
          <w:sz w:val="24"/>
          <w:szCs w:val="24"/>
        </w:rPr>
      </w:pPr>
    </w:p>
    <w:p w:rsidR="00495E0D" w:rsidRPr="00495E0D" w:rsidRDefault="00495E0D" w:rsidP="00495E0D">
      <w:pPr>
        <w:jc w:val="center"/>
        <w:rPr>
          <w:rFonts w:ascii="Times New Roman" w:hAnsi="Times New Roman" w:cs="Times New Roman"/>
          <w:sz w:val="24"/>
          <w:szCs w:val="24"/>
        </w:rPr>
      </w:pPr>
      <w:r w:rsidRPr="00495E0D">
        <w:rPr>
          <w:rFonts w:ascii="Times New Roman" w:hAnsi="Times New Roman" w:cs="Times New Roman"/>
          <w:sz w:val="24"/>
          <w:szCs w:val="24"/>
        </w:rPr>
        <w:t>от 10 июля 2012 года N 227</w:t>
      </w:r>
    </w:p>
    <w:p w:rsidR="00495E0D" w:rsidRPr="00495E0D" w:rsidRDefault="00495E0D" w:rsidP="00495E0D">
      <w:pPr>
        <w:jc w:val="center"/>
        <w:rPr>
          <w:rFonts w:ascii="Times New Roman" w:hAnsi="Times New Roman" w:cs="Times New Roman"/>
          <w:sz w:val="24"/>
          <w:szCs w:val="24"/>
        </w:rPr>
      </w:pPr>
    </w:p>
    <w:p w:rsidR="00495E0D" w:rsidRPr="00495E0D" w:rsidRDefault="00495E0D" w:rsidP="00495E0D">
      <w:pPr>
        <w:jc w:val="center"/>
        <w:rPr>
          <w:rFonts w:ascii="Times New Roman" w:hAnsi="Times New Roman" w:cs="Times New Roman"/>
          <w:sz w:val="24"/>
          <w:szCs w:val="24"/>
        </w:rPr>
      </w:pPr>
      <w:r w:rsidRPr="00495E0D">
        <w:rPr>
          <w:rFonts w:ascii="Times New Roman" w:hAnsi="Times New Roman" w:cs="Times New Roman"/>
          <w:sz w:val="24"/>
          <w:szCs w:val="24"/>
        </w:rPr>
        <w:t>ОБ УТВЕРЖДЕНИИ ПОРЯДКА ОХРАНЫ ЗЕЛЕНЫХ НАСАЖДЕНИЙ В НАСЕЛЕННЫХ ПУНКТАХ РЕСПУБЛИКИ ДАГЕСТАН</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В соответствии с Законом Республики Дагестан от 8 июня 2010 года N 28 "Об охране зеленых насаждений" Правительство Республики Дагестан постановляет:</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1. Утвердить прилагаемый Порядок охраны зеленых насаждений в населенных пунктах Республики Дагестан (далее - Порядок).</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2. Рекомендовать органам местного самоуправления при разработке муниципальных правовых актов в сфере охраны зеленых насаждений руководствоваться Порядком.</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3. Настоящее постановление вступает в силу по истечении десяти дней со дня его официального опубликования.</w:t>
      </w:r>
    </w:p>
    <w:p w:rsidR="00495E0D" w:rsidRPr="00495E0D" w:rsidRDefault="00495E0D" w:rsidP="00495E0D">
      <w:pPr>
        <w:rPr>
          <w:rFonts w:ascii="Times New Roman" w:hAnsi="Times New Roman" w:cs="Times New Roman"/>
          <w:sz w:val="24"/>
          <w:szCs w:val="24"/>
        </w:rPr>
      </w:pPr>
    </w:p>
    <w:p w:rsidR="00495E0D" w:rsidRPr="00495E0D" w:rsidRDefault="00495E0D" w:rsidP="00495E0D">
      <w:pPr>
        <w:jc w:val="right"/>
        <w:rPr>
          <w:rFonts w:ascii="Times New Roman" w:hAnsi="Times New Roman" w:cs="Times New Roman"/>
          <w:sz w:val="24"/>
          <w:szCs w:val="24"/>
        </w:rPr>
      </w:pPr>
      <w:r w:rsidRPr="00495E0D">
        <w:rPr>
          <w:rFonts w:ascii="Times New Roman" w:hAnsi="Times New Roman" w:cs="Times New Roman"/>
          <w:sz w:val="24"/>
          <w:szCs w:val="24"/>
        </w:rPr>
        <w:t>Председатель Правительства</w:t>
      </w:r>
    </w:p>
    <w:p w:rsidR="00495E0D" w:rsidRPr="00495E0D" w:rsidRDefault="00495E0D" w:rsidP="00495E0D">
      <w:pPr>
        <w:jc w:val="right"/>
        <w:rPr>
          <w:rFonts w:ascii="Times New Roman" w:hAnsi="Times New Roman" w:cs="Times New Roman"/>
          <w:sz w:val="24"/>
          <w:szCs w:val="24"/>
        </w:rPr>
      </w:pPr>
    </w:p>
    <w:p w:rsidR="00495E0D" w:rsidRPr="00495E0D" w:rsidRDefault="00495E0D" w:rsidP="00495E0D">
      <w:pPr>
        <w:jc w:val="right"/>
        <w:rPr>
          <w:rFonts w:ascii="Times New Roman" w:hAnsi="Times New Roman" w:cs="Times New Roman"/>
          <w:sz w:val="24"/>
          <w:szCs w:val="24"/>
        </w:rPr>
      </w:pPr>
      <w:r w:rsidRPr="00495E0D">
        <w:rPr>
          <w:rFonts w:ascii="Times New Roman" w:hAnsi="Times New Roman" w:cs="Times New Roman"/>
          <w:sz w:val="24"/>
          <w:szCs w:val="24"/>
        </w:rPr>
        <w:t>Республики Дагестан</w:t>
      </w:r>
    </w:p>
    <w:p w:rsidR="00495E0D" w:rsidRPr="00495E0D" w:rsidRDefault="00495E0D" w:rsidP="00495E0D">
      <w:pPr>
        <w:jc w:val="right"/>
        <w:rPr>
          <w:rFonts w:ascii="Times New Roman" w:hAnsi="Times New Roman" w:cs="Times New Roman"/>
          <w:sz w:val="24"/>
          <w:szCs w:val="24"/>
        </w:rPr>
      </w:pPr>
    </w:p>
    <w:p w:rsidR="00495E0D" w:rsidRDefault="00495E0D" w:rsidP="00495E0D">
      <w:pPr>
        <w:jc w:val="right"/>
        <w:rPr>
          <w:rFonts w:ascii="Times New Roman" w:hAnsi="Times New Roman" w:cs="Times New Roman"/>
          <w:sz w:val="24"/>
          <w:szCs w:val="24"/>
        </w:rPr>
      </w:pPr>
      <w:r w:rsidRPr="00495E0D">
        <w:rPr>
          <w:rFonts w:ascii="Times New Roman" w:hAnsi="Times New Roman" w:cs="Times New Roman"/>
          <w:sz w:val="24"/>
          <w:szCs w:val="24"/>
        </w:rPr>
        <w:t xml:space="preserve">М. </w:t>
      </w:r>
      <w:proofErr w:type="spellStart"/>
      <w:r w:rsidRPr="00495E0D">
        <w:rPr>
          <w:rFonts w:ascii="Times New Roman" w:hAnsi="Times New Roman" w:cs="Times New Roman"/>
          <w:sz w:val="24"/>
          <w:szCs w:val="24"/>
        </w:rPr>
        <w:t>Абдулаев</w:t>
      </w:r>
      <w:proofErr w:type="spellEnd"/>
    </w:p>
    <w:p w:rsidR="00495E0D" w:rsidRDefault="00495E0D" w:rsidP="00495E0D">
      <w:pPr>
        <w:jc w:val="right"/>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p>
    <w:p w:rsidR="00495E0D" w:rsidRPr="00495E0D" w:rsidRDefault="00495E0D" w:rsidP="00495E0D">
      <w:pPr>
        <w:jc w:val="center"/>
        <w:rPr>
          <w:rFonts w:ascii="Times New Roman" w:hAnsi="Times New Roman" w:cs="Times New Roman"/>
          <w:b/>
          <w:sz w:val="24"/>
          <w:szCs w:val="24"/>
        </w:rPr>
      </w:pPr>
      <w:r w:rsidRPr="00495E0D">
        <w:rPr>
          <w:rFonts w:ascii="Times New Roman" w:hAnsi="Times New Roman" w:cs="Times New Roman"/>
          <w:b/>
          <w:sz w:val="24"/>
          <w:szCs w:val="24"/>
        </w:rPr>
        <w:t xml:space="preserve">Порядок охраны </w:t>
      </w:r>
      <w:proofErr w:type="spellStart"/>
      <w:r w:rsidRPr="00495E0D">
        <w:rPr>
          <w:rFonts w:ascii="Times New Roman" w:hAnsi="Times New Roman" w:cs="Times New Roman"/>
          <w:b/>
          <w:sz w:val="24"/>
          <w:szCs w:val="24"/>
        </w:rPr>
        <w:t>Охраны</w:t>
      </w:r>
      <w:proofErr w:type="spellEnd"/>
      <w:r w:rsidRPr="00495E0D">
        <w:rPr>
          <w:rFonts w:ascii="Times New Roman" w:hAnsi="Times New Roman" w:cs="Times New Roman"/>
          <w:b/>
          <w:sz w:val="24"/>
          <w:szCs w:val="24"/>
        </w:rPr>
        <w:t xml:space="preserve"> зеленых насаждений в населенных пунктах Республики Дагестан</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I. Общие положения</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1. Настоящий Порядок устанавливает правила охраны зеленых насаждений в населенных пунктах Республики Дагестан.</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2. В целях реализации Порядка органами местного самоуправления городских округов, городских и сельских поселений могут устанавливаться правила (порядок) охраны зеленых насаждений и регламенты производства работ на объектах озеленения, учитывающие социально-экономические, природно-климатические и другие особенности территорий.</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3. Охрана зеленых насаждений - система мероприятий, обеспечивающих сохранение и развитие зеленых насаждений, представляющая собой деятельность по созданию, сохранению и оценке состояния зеленых насаждений, направленную на создание благоприятной окружающей среды и нормализацию экологической обстановки.</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4. Основной задачей охраны зеленых насаждений является достижение нормативной обеспеченности зелеными насаждениями населенных пунктов Республики Дагестан.</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5. В населенных пунктах Республики Дагестан запрещается: уничтожение и повреждение зеленых насаждений, за исключением</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случаев, установленных федеральным законодательством и Законом Республики Дагестан от 8 июня 2010 года N 28 "Об охране зеленых насаждений" (далее - Закон Республики Дагестан);</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 xml:space="preserve">хозяйственная и иная деятельность на территориях, занятых зелеными насаждениями, оказывающая негативное воздействие на указанные территории и препятствующая выполнению зелеными насаждениями </w:t>
      </w:r>
      <w:proofErr w:type="spellStart"/>
      <w:r w:rsidRPr="00495E0D">
        <w:rPr>
          <w:rFonts w:ascii="Times New Roman" w:hAnsi="Times New Roman" w:cs="Times New Roman"/>
          <w:sz w:val="24"/>
          <w:szCs w:val="24"/>
        </w:rPr>
        <w:t>средообразующих</w:t>
      </w:r>
      <w:proofErr w:type="spellEnd"/>
      <w:r w:rsidRPr="00495E0D">
        <w:rPr>
          <w:rFonts w:ascii="Times New Roman" w:hAnsi="Times New Roman" w:cs="Times New Roman"/>
          <w:sz w:val="24"/>
          <w:szCs w:val="24"/>
        </w:rPr>
        <w:t>, рекреационных, санитарно-гигиенических и экологических функций, за исключением случаев, установленных федеральным законодательством и Законом Республики Дагестан.</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II. Организация охраны зеленых насаждений</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6. Органами местного самоуправления городских округов, городских и сельских поселений осуществляется деятельность по охране зеленых насаждений через специально уполномоченные органы (далее - уполномоченный орган).</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7. Планирование деятельности по охране зеленых насаждений осуществляется на основании оценки состояния зеленых насаждений.</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 xml:space="preserve">8. По результатам оценки состояния зеленых насаждений составляется перечень мероприятий на очередной год по созданию и сохранению зеленых насаждений, в том числе по производству </w:t>
      </w:r>
      <w:proofErr w:type="spellStart"/>
      <w:r w:rsidRPr="00495E0D">
        <w:rPr>
          <w:rFonts w:ascii="Times New Roman" w:hAnsi="Times New Roman" w:cs="Times New Roman"/>
          <w:sz w:val="24"/>
          <w:szCs w:val="24"/>
        </w:rPr>
        <w:t>уходных</w:t>
      </w:r>
      <w:proofErr w:type="spellEnd"/>
      <w:r w:rsidRPr="00495E0D">
        <w:rPr>
          <w:rFonts w:ascii="Times New Roman" w:hAnsi="Times New Roman" w:cs="Times New Roman"/>
          <w:sz w:val="24"/>
          <w:szCs w:val="24"/>
        </w:rPr>
        <w:t xml:space="preserve"> работ, санитарной и других видов обрезки деревьев и кустарников, вырубке аварийно - опасных, сухостойных деревьев и кустарнико</w:t>
      </w:r>
      <w:proofErr w:type="gramStart"/>
      <w:r w:rsidRPr="00495E0D">
        <w:rPr>
          <w:rFonts w:ascii="Times New Roman" w:hAnsi="Times New Roman" w:cs="Times New Roman"/>
          <w:sz w:val="24"/>
          <w:szCs w:val="24"/>
        </w:rPr>
        <w:t>в(</w:t>
      </w:r>
      <w:proofErr w:type="gramEnd"/>
      <w:r w:rsidRPr="00495E0D">
        <w:rPr>
          <w:rFonts w:ascii="Times New Roman" w:hAnsi="Times New Roman" w:cs="Times New Roman"/>
          <w:sz w:val="24"/>
          <w:szCs w:val="24"/>
        </w:rPr>
        <w:t>далее - перечень мероприятий). Так же в перечень мероприятий могут включаться мероприятия по инвентаризации (долгосрочной оценке состояния) зеленых насаждений.</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9. Перечень мероприятий содержит:</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наименование мероприятия;</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информацию об исполнителе, ответственном за реализацию мероприятия; информацию о сроках реализации мероприятия;</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информацию об объемах и источниках финансирования;</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иную информацию.</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10. В перечень мероприятий также включаются мероприятия по созданию и сохранению зеленых насаждений, осуществляемые субъектами хозяйственной и иной деятельности на соответствующих земельных участках.</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lastRenderedPageBreak/>
        <w:t>11. Перечень мероприятий утверждается муниципальным правовым актом. При необходимости корректировки перечня мероприятий по результатам оперативной оценки состояния зеленых насаждений вносятся изменения в соответствующий муниципальный правовой акт.</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12. Уполномоченный орган организует выполнение перечня мероприятий в соответствии с требованиями законодательства.</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 xml:space="preserve">13. По итогам реализации перечня мероприятий органами местного самоуправления издается муниципальный правовой акт, отражающий результаты охраны зеленых насаждений в текущем году. </w:t>
      </w:r>
      <w:proofErr w:type="gramStart"/>
      <w:r w:rsidRPr="00495E0D">
        <w:rPr>
          <w:rFonts w:ascii="Times New Roman" w:hAnsi="Times New Roman" w:cs="Times New Roman"/>
          <w:sz w:val="24"/>
          <w:szCs w:val="24"/>
        </w:rPr>
        <w:t>Кроме плановых мероприятий, в указанном муниципальном правовом акте отражается иная информация об охране зеленых насаждений, в том числе информация о незаконном уничтожении и повреждении зеленых насаждений и принятых мерах, об уничтожении и повреждении зеленых насаждений при предупреждении и ликвидации чрезвычайных ситуаций, о других случаях уничтожения и повреждения зеленых насаждений, а также о пересаженных зеленых насаждениях.</w:t>
      </w:r>
      <w:proofErr w:type="gramEnd"/>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III. Создание зеленых насаждений</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14. Создание зеленых насаждений - деятельность по посадке деревьев и кустарников, посеву трав и цветов, в том числе по выбору и подготовке территории, приобретению и выращиванию посадочного и посевного материала, а также сохранению посадочного и посевного материала до полной приживаемости.</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15. Приоритетным является создание зеленых насаждений на территориях, на которых произведено уничтожение зеленых насаждений.</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16. Создание зеленых насаждений осуществляются в порядке, предусмотренном строительными нормами и правилами, регламентами производства работ на объектах озеленения с соблюдением требований санитарно - гигиенических нормативов, градостроительной документации.</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17. Перечень мероприятий по созданию зеленых насаждений планируется и осуществляется в соответствии с пунктами 7 - 12 Порядка.</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 xml:space="preserve">18. Все виды работ при создании зеленых насаждений осуществляется в соответствии с проектной, сметной и другой документацией, схемами и планами, разработанными в установленном порядке. </w:t>
      </w:r>
      <w:r w:rsidRPr="00495E0D">
        <w:rPr>
          <w:rFonts w:ascii="Times New Roman" w:hAnsi="Times New Roman" w:cs="Times New Roman"/>
          <w:sz w:val="24"/>
          <w:szCs w:val="24"/>
        </w:rPr>
        <w:lastRenderedPageBreak/>
        <w:t>Указанная документация, кроме затрат по созданию зеленых насаждений, должна включать затраты, связанные с содержанием зеленых насаждений до их полной приживаемости.</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19. Разработку документации, указанной в пункте 18 Порядка, ее согласование с уполномоченным органом, а также реализацию перечня мероприятий по созданию зеленых насаждений организовывают лица и организации, заинтересованные в уничтожении, пересадке или создании зеленых насаждений.</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20. Основанием для производства работ по созданию зеленых насаждений является перечень мероприятий, при этом дополнительного разрешения на производство работ в сроки, определенные перечнем мероприятий, не требуется.</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21. По окончании производства работ должностным лицом уполномоченного органа осуществляется контроль производства работ. При несоответствии выполненных работ условиям проектной документации должностным лицом уполномоченного органа, осуществляющим контроль производства работ, составляется акт оценки состояния зеленых насаждений, в котором фиксируются допущенные нарушения. Лицо, допустившее нарушение при производстве работ, несет ответственность в соответствии с федеральным законодательством и Законом Республики Дагестан.</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 xml:space="preserve">22. Зеленые насаждения считаются созданными после проведения полного комплекса </w:t>
      </w:r>
      <w:proofErr w:type="spellStart"/>
      <w:r w:rsidRPr="00495E0D">
        <w:rPr>
          <w:rFonts w:ascii="Times New Roman" w:hAnsi="Times New Roman" w:cs="Times New Roman"/>
          <w:sz w:val="24"/>
          <w:szCs w:val="24"/>
        </w:rPr>
        <w:t>уходных</w:t>
      </w:r>
      <w:proofErr w:type="spellEnd"/>
      <w:r w:rsidRPr="00495E0D">
        <w:rPr>
          <w:rFonts w:ascii="Times New Roman" w:hAnsi="Times New Roman" w:cs="Times New Roman"/>
          <w:sz w:val="24"/>
          <w:szCs w:val="24"/>
        </w:rPr>
        <w:t xml:space="preserve"> работ до момента их приживаемости. Указанные работы планируются и осуществляются в соответствии с пунктами 7-12 Порядка и могут проводиться собственниками, землепользователями, землевладельцами, арендаторами земельных участков на основании соответствующего акта приема-передачи зеленых насаждений в соответствии с документацией, указанной в пункте 18 настоящего Порядка.</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IV. Сохранение зеленых насаждений</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23. Сохранение зеленых насаждений - деятельность по содержанию зеленых насаждений (обработка почвы, полив, внесение удобрений, обрезка крон деревьев и кустарников и иные мероприятия), восстановлению зеленых насаждений, в том числе с элементами ландшафтной перепланировки, а также по борьбе с вредителями и болезнями зеленых насаждений.</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lastRenderedPageBreak/>
        <w:t xml:space="preserve">24. </w:t>
      </w:r>
      <w:proofErr w:type="gramStart"/>
      <w:r w:rsidRPr="00495E0D">
        <w:rPr>
          <w:rFonts w:ascii="Times New Roman" w:hAnsi="Times New Roman" w:cs="Times New Roman"/>
          <w:sz w:val="24"/>
          <w:szCs w:val="24"/>
        </w:rPr>
        <w:t>Проведение работ по сохранению зеленых насаждений обеспечивается собственниками земельных участков, землепользователями, землевладельцами, арендаторами земельных участков за счет собственных средств в соответствии с регламентами и сроками производства работ на объектах озеленения, в том числе по лечению зеленых насаждений при их поврежденности в срок не позднее 10 дней с момента установления факта повреждения.</w:t>
      </w:r>
      <w:proofErr w:type="gramEnd"/>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V. Оценка состояния зеленых насаждений.</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25. Оценка состояния зеленых насаждений - деятельность по получению сведений о количественных и качественных параметрах состояния зеленых насаждений.</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26. Основные составляющие системы оценки состояния зеленых насаждений:</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оценка (долгосрочная, ежегодная (весной и осенью), оперативная) качественных и количественных параметров состояния зеленых насаждений;</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выявление и идентификация причин ухудшения состояния зеленых насаждений;</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разработка перечня мероприятий, направленных на устранение последствий негативного воздействия на зеленые насаждения, а также мероприятий по повышению уровня благоустройства;</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прогноз развития ситуации (долгосрочный, ежегодный, оперативный).</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27. Долгосрочную оценку состояния зеленых насаждений осуществляют специализированные учреждения на договорной основе или собственники, землепользователи, землевладельцы, арендаторы земельных участков, на которых произрастают зеленые насаждения, с последующим экспертным заключением по материалам обследования квалифицированными специалистами.</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28. Долгосрочная оценка ситуации осуществляется по результатам инвентаризации зеленых насаждений с периодичностью один раз в 10 лет.</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lastRenderedPageBreak/>
        <w:t>29. Документом, отображающим результаты инвентаризации зеленых насаждений, является паспорт объекта зеленых насаждений, который содержит, в том числе, следующие сведения:</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инвентарный план;</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административно-территориальная принадлежность;</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наименование ответственного владельца;</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режим охраны и использования;</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установленное функциональное назначение земельного участка;</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общая площадь объекта;</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количество зеленых насаждений;</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видовой состав зеленых насаждений;</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состояние зеленых насаждений (</w:t>
      </w:r>
      <w:proofErr w:type="spellStart"/>
      <w:r w:rsidRPr="00495E0D">
        <w:rPr>
          <w:rFonts w:ascii="Times New Roman" w:hAnsi="Times New Roman" w:cs="Times New Roman"/>
          <w:sz w:val="24"/>
          <w:szCs w:val="24"/>
        </w:rPr>
        <w:t>пообъектно</w:t>
      </w:r>
      <w:proofErr w:type="spellEnd"/>
      <w:r w:rsidRPr="00495E0D">
        <w:rPr>
          <w:rFonts w:ascii="Times New Roman" w:hAnsi="Times New Roman" w:cs="Times New Roman"/>
          <w:sz w:val="24"/>
          <w:szCs w:val="24"/>
        </w:rPr>
        <w:t>).</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30. На основании сведений, содержащихся в паспортах объектов зеленых насаждений, ведется реестр зеленых насаждений городских округов, городских и сельских поселений, который утверждается должностным лицом администрации городского округа, городского или сельского поселения, курирующим охрану зеленых насаждений.</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31. Результаты ежегодной и оперативной оценки состояния зеленых насаждений оформляются актом оценки состояния зеленых насаждений.</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32. Акт оценки состояния зеленых насаждений содержит;</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Информацию о местоположении объекта;</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Информацию о собственниках земельных участков, землепользователях, землевладельцах, арендаторах земельных участков, на которых производятся работы;</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количественные и качественные характеристики зеленых насаждений;</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информацию о нарушениях требований разрешения на проведение работ и проектной документации создания зеленых насаждений;</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информацию об уничтожении зеленых насаждений с нарушением требований Закона Республики Дагестан;</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информацию о возмещении вреда окружающей среде;</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заключение о возможности и условиях пересадки деревьев;</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иную информацию.</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33. Акт оценки состояния зеленых насаждений составляется должностным лицом уполномоченного органа или комиссией, в которую могут входить представители специализированных организаций, общественности. Акт оформляется на официальном бланке, подписывается всеми членами комиссии (при необходимости - членами экспертной группы) и утверждается руководителем уполномоченного органа.</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 xml:space="preserve">Оценка состояния зеленых насаждений также проводится для отнесения деревьев и кустарников к </w:t>
      </w:r>
      <w:proofErr w:type="gramStart"/>
      <w:r w:rsidRPr="00495E0D">
        <w:rPr>
          <w:rFonts w:ascii="Times New Roman" w:hAnsi="Times New Roman" w:cs="Times New Roman"/>
          <w:sz w:val="24"/>
          <w:szCs w:val="24"/>
        </w:rPr>
        <w:t>аварийно-опасным</w:t>
      </w:r>
      <w:proofErr w:type="gramEnd"/>
      <w:r w:rsidRPr="00495E0D">
        <w:rPr>
          <w:rFonts w:ascii="Times New Roman" w:hAnsi="Times New Roman" w:cs="Times New Roman"/>
          <w:sz w:val="24"/>
          <w:szCs w:val="24"/>
        </w:rPr>
        <w:t xml:space="preserve"> и сухостойным.</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proofErr w:type="gramStart"/>
      <w:r w:rsidRPr="00495E0D">
        <w:rPr>
          <w:rFonts w:ascii="Times New Roman" w:hAnsi="Times New Roman" w:cs="Times New Roman"/>
          <w:sz w:val="24"/>
          <w:szCs w:val="24"/>
        </w:rPr>
        <w:t xml:space="preserve">К аварийно-опасным относятся деревья, угрожающие падением, а также к ним могут быть отнесены деревья, высаженные с нарушением установленных норм и правил, в том числе </w:t>
      </w:r>
      <w:r w:rsidRPr="00495E0D">
        <w:rPr>
          <w:rFonts w:ascii="Times New Roman" w:hAnsi="Times New Roman" w:cs="Times New Roman"/>
          <w:sz w:val="24"/>
          <w:szCs w:val="24"/>
        </w:rPr>
        <w:lastRenderedPageBreak/>
        <w:t>попадающие в охранные технические зоны инженерных коммуникаций, нарушающие нормативный световой режим в жилых и нежилых помещениях.</w:t>
      </w:r>
      <w:proofErr w:type="gramEnd"/>
      <w:r w:rsidRPr="00495E0D">
        <w:rPr>
          <w:rFonts w:ascii="Times New Roman" w:hAnsi="Times New Roman" w:cs="Times New Roman"/>
          <w:sz w:val="24"/>
          <w:szCs w:val="24"/>
        </w:rPr>
        <w:t xml:space="preserve"> </w:t>
      </w:r>
      <w:proofErr w:type="gramStart"/>
      <w:r w:rsidRPr="00495E0D">
        <w:rPr>
          <w:rFonts w:ascii="Times New Roman" w:hAnsi="Times New Roman" w:cs="Times New Roman"/>
          <w:sz w:val="24"/>
          <w:szCs w:val="24"/>
        </w:rPr>
        <w:t>Для отнесения деревьев к высаженным с нарушением установленных норм и правил к акту оценки прилагаются заключения соответствующих контролирующих органов (организаций).</w:t>
      </w:r>
      <w:proofErr w:type="gramEnd"/>
      <w:r w:rsidRPr="00495E0D">
        <w:rPr>
          <w:rFonts w:ascii="Times New Roman" w:hAnsi="Times New Roman" w:cs="Times New Roman"/>
          <w:sz w:val="24"/>
          <w:szCs w:val="24"/>
        </w:rPr>
        <w:t xml:space="preserve"> Отнесение деревьев </w:t>
      </w:r>
      <w:proofErr w:type="gramStart"/>
      <w:r w:rsidRPr="00495E0D">
        <w:rPr>
          <w:rFonts w:ascii="Times New Roman" w:hAnsi="Times New Roman" w:cs="Times New Roman"/>
          <w:sz w:val="24"/>
          <w:szCs w:val="24"/>
        </w:rPr>
        <w:t>к</w:t>
      </w:r>
      <w:proofErr w:type="gramEnd"/>
      <w:r w:rsidRPr="00495E0D">
        <w:rPr>
          <w:rFonts w:ascii="Times New Roman" w:hAnsi="Times New Roman" w:cs="Times New Roman"/>
          <w:sz w:val="24"/>
          <w:szCs w:val="24"/>
        </w:rPr>
        <w:t xml:space="preserve"> угрожающим падением осуществляется на основании акта оценки состояния зеленых насаждений.</w:t>
      </w:r>
    </w:p>
    <w:p w:rsidR="00495E0D" w:rsidRPr="00495E0D" w:rsidRDefault="00495E0D" w:rsidP="00495E0D">
      <w:pPr>
        <w:rPr>
          <w:rFonts w:ascii="Times New Roman" w:hAnsi="Times New Roman" w:cs="Times New Roman"/>
          <w:sz w:val="24"/>
          <w:szCs w:val="24"/>
        </w:rPr>
      </w:pPr>
    </w:p>
    <w:p w:rsidR="00495E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VI. Ответственность за нарушение Порядка</w:t>
      </w:r>
    </w:p>
    <w:p w:rsidR="00495E0D" w:rsidRPr="00495E0D" w:rsidRDefault="00495E0D" w:rsidP="00495E0D">
      <w:pPr>
        <w:rPr>
          <w:rFonts w:ascii="Times New Roman" w:hAnsi="Times New Roman" w:cs="Times New Roman"/>
          <w:sz w:val="24"/>
          <w:szCs w:val="24"/>
        </w:rPr>
      </w:pPr>
    </w:p>
    <w:p w:rsidR="00B5430D" w:rsidRPr="00495E0D" w:rsidRDefault="00495E0D" w:rsidP="00495E0D">
      <w:pPr>
        <w:rPr>
          <w:rFonts w:ascii="Times New Roman" w:hAnsi="Times New Roman" w:cs="Times New Roman"/>
          <w:sz w:val="24"/>
          <w:szCs w:val="24"/>
        </w:rPr>
      </w:pPr>
      <w:r w:rsidRPr="00495E0D">
        <w:rPr>
          <w:rFonts w:ascii="Times New Roman" w:hAnsi="Times New Roman" w:cs="Times New Roman"/>
          <w:sz w:val="24"/>
          <w:szCs w:val="24"/>
        </w:rPr>
        <w:t>36. Нарушение требований Порядка влечет за собой ответственность, предусмотренную законодательством. Привлечение к ответственности не освобождает правонарушителей от устранения допущенных нарушений и возмещения вреда окружающей среде в полном объеме.</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3655D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776662"/>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b2f048a0fab64571"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