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45147" w:rsidRPr="00945147" w:rsidRDefault="00945147" w:rsidP="009451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5147">
        <w:rPr>
          <w:rFonts w:ascii="Times New Roman" w:hAnsi="Times New Roman" w:cs="Times New Roman"/>
          <w:b/>
          <w:sz w:val="24"/>
          <w:szCs w:val="24"/>
        </w:rPr>
        <w:t>О ПОРЯДКЕ УСТАНОВЛЕНИЯ КОНКРЕТНОГО РАЗМЕРА ЕЖЕМЕСЯЧНОГО ДЕНЕЖНОГО ПООЩРЕНИЯ ГОСУДАРСТВЕННЫМ ГРАЖДАНСКИМ СЛУЖАЩИМ ИРКУТСКОЙ ОБЛАСТИ В МИНИСТЕРСТВЕ ПРИРОДНЫХ РЕСУРСОВ И ЭКОЛОГИИ ИРКУТСКОЙ ОБЛАСТИ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ПРИКАЗ</w:t>
      </w: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от 4 октября 2016 года N 42-мпр</w:t>
      </w: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О ПОРЯДКЕ УСТАНОВЛЕНИЯ КОНКРЕТНОГО РАЗМЕРА ЕЖЕМЕСЯЧНОГО ДЕНЕЖНОГО ПООЩРЕНИЯ ГОСУДАРСТВЕННЫМ ГРАЖДАНСКИМ СЛУЖАЩИМ ИРКУТСКОЙ ОБЛАСТИ В МИНИСТЕРСТВЕ ПРИРОДНЫХ РЕСУРСОВ И ЭКОЛОГИИ ИРКУТСКОЙ ОБЛАСТИ</w:t>
      </w: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В соответствии со статьей 50 Федерального закона от 27 июля 2004 года N 79-ФЗ "О государственной гражданской службе Российской Федерации", частью 6 статьи 16 Закона Иркутской области от 4 апреля 2008 года N 2-оз "Об отдельных вопросах государственной гражданской службы Иркутской области", постановлением Губернатора Иркутской области от 16 ноября 2007 года N 536-п "О размерах должностных окладов и ежемесячного денежного поощрения государственных гражданских служащих Иркутской области",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392/171-пп, руководствуясь статьей 21 Устава Иркутской области, приказываю: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1. Утвердить Порядок установления конкретного размера ежемесячного денежного поощрения государственным гражданским служащим Иркутской области в министерстве природных ресурсов и экологии Иркутской области (прилагается).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десять календарных дней после дня его официального опубликования.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945147" w:rsidRPr="00945147" w:rsidRDefault="00945147" w:rsidP="00945147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945147" w:rsidRDefault="00945147" w:rsidP="00945147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А.В.КРЮЧКОВ</w:t>
      </w:r>
    </w:p>
    <w:p w:rsidR="00945147" w:rsidRDefault="00945147" w:rsidP="0094514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jc w:val="center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ПОРЯДОК УСТАНОВЛЕНИЯ КОНКРЕТНОГО РАЗМЕРА ЕЖЕМЕСЯЧНОГО ДЕНЕЖНОГО ПООЩРЕНИЯ ГОСУДАРСТВЕННЫМ ГРАЖДАНСКИМ СЛУЖАЩИМ ИРКУТСКОЙ ОБЛАСТИ В МИНИСТЕРСТВЕ ПРИРОДНЫХ РЕСУРСОВ И ЭКОЛОГИИ ИРКУТСКОЙ ОБЛАСТИ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Утвержден</w:t>
      </w:r>
    </w:p>
    <w:p w:rsidR="00945147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</w:t>
      </w:r>
    </w:p>
    <w:p w:rsidR="00945147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945147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от 4 октября 2016 года N 42-мпр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1. Настоящий Порядок определяет установление конкретного размера ежемесячного денежного поощрения государственным гражданским служащим Иркутской области, замещающим должности государственной гражданской службы Иркутской области в министерстве природных ресурсов и экологии Иркутской области (далее - министерство, гражданский служащий, денежное поощрение).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lastRenderedPageBreak/>
        <w:t>2. Выплата денежного поощрения производится за счет средств и в пределах фонда оплаты труда гражданских служащих, сформированного в установленном порядке.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3. Денежное поощрение определяется представителем нанимателя в соответствии с замещаемой гражданским служащим должностью государственной гражданской службы Иркутской области в министерстве в пределах размеров и с учетом обстоятельств, установленных постановлением Губернатора Иркутской области от 16 ноября 2007 года N 536-п "О размерах должностных окладов и ежемесячного денежного поощрения государственных гражданских служащих Иркутской области" (далее - постановление N 536-п).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4. Конкретный размер денежного поощрения определяется в служебном контракте гражданского служащего.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5. Минимальный размер денежного поощрения при назначении на должности государственной гражданской службы Иркутской области в министерстве устанавливается: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1) гражданским служащим, впервые поступающим на государственную гражданскую службу Иркутской области и не имеющим стажа государственной гражданской службы Иркутской области (государственной службы иного вида или муниципальной службы);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2) гражданским служащим, в служебных контрактах которых предусматривается условие об испытании гражданского служащего.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6. Размер денежного поощрения может быть увеличен по результатам рассмотрения письменного ходатайства, представленного на имя представителя нанимателя (далее - письменное ходатайство):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1) для гражданских служащих, указанных в подпункте 1 пункта 5 настоящего Порядка, по истечении шести месяцев со дня назначения на должность государственной гражданской службы Иркутской области;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2) для гражданских служащих, указанных в подпункте 2 пункта 5 настоящего Порядка, по истечении предусмотренного служебным контрактом срока испытания;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lastRenderedPageBreak/>
        <w:t>3) для иных гражданских служащих, за исключением указанных в подпунктах 1, 2 настоящего пункта, без ограничения срока прохождения государственной гражданской службы Иркутской области.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Письменное ходатайство представляется: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первым заместителем министра, заместителем министра в отношении гражданских служащих, непосредственно им подчиненных;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начальником отдела финансового, кадрового и документационного обеспечения - главным бухгалтером министерства в отношении гражданских служащих в отделе финансового, кадрового и документационного обеспечения министерства (подготовленного по инициативе начальника отдела финансового, кадрового и документационного обеспечения - главного бухгалтера министерства).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Письменное ходатайство согласовывается с отделом финансового, кадрового и документационного обеспечения министерства.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Письменное ходатайство не требуется в случае принятия представителем нанимателя решения об увеличении размера денежного поощрения гражданским служащим, замещающим должности первого заместителя министра, заместителя министра, начальника отдела финансового, кадрового и документационного обеспечения - главного бухгалтера министерства, советника по внутреннему финансовому аудиту министерства, консультанта по мобилизационной подготовке министерства (в случае его непосредственного подчинения представителю нанимателя).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7. Письменное ходатайство, указанное в пункте 6 настоящего Порядка, должно содержать обоснования, свидетельствующие о надлежащем исполнении гражданским служащим своих должностных обязанностей, предусмотренных служебным контрактом, а также иных обстоятельствах, указанных в постановлении N 536-п.</w:t>
      </w: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945147">
      <w:pPr>
        <w:rPr>
          <w:rFonts w:ascii="Times New Roman" w:hAnsi="Times New Roman" w:cs="Times New Roman"/>
          <w:sz w:val="24"/>
          <w:szCs w:val="24"/>
        </w:rPr>
      </w:pPr>
    </w:p>
    <w:p w:rsidR="00945147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945147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3F6821" w:rsidRPr="00945147" w:rsidRDefault="00945147" w:rsidP="00056F6C">
      <w:pPr>
        <w:jc w:val="right"/>
        <w:rPr>
          <w:rFonts w:ascii="Times New Roman" w:hAnsi="Times New Roman" w:cs="Times New Roman"/>
          <w:sz w:val="24"/>
          <w:szCs w:val="24"/>
        </w:rPr>
      </w:pPr>
      <w:r w:rsidRPr="00945147">
        <w:rPr>
          <w:rFonts w:ascii="Times New Roman" w:hAnsi="Times New Roman" w:cs="Times New Roman"/>
          <w:sz w:val="24"/>
          <w:szCs w:val="24"/>
        </w:rPr>
        <w:lastRenderedPageBreak/>
        <w:t>А.В.КРЮЧКОВ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3557cb9ef684a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