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8231FE" w14:textId="77777777" w:rsidR="000C7D0E" w:rsidRDefault="000C7D0E" w:rsidP="000C7D0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апреля 2021 года N 196-о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комиссии по распределению разрешений на добычу охотничьих ресурсов между физическими лицами, осуществляющими охоту в общедоступных охотничьих угодьях Тульской области</w:t>
      </w:r>
    </w:p>
    <w:p w14:paraId="71C4BAD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3415EB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п. 6 ст. 31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Федерации", ст. 3 Закона Тульской области от 07.03.2012 N 1732-ЗТО "О регулировании отдельных отношений в сфере охоты и сохранения охотничьих ресурсов на территории Тульской области", в соответствии с п. 3 Методических рекомендаций по распределению разрешений на добычу охотничьих ресурсов между физическими лицами, осуществляющими охоту в общедоступных охотничьих угодьях, утвержденных Приказом Министерства природных ресурсов и экологии Российской Федерации от 01.12.2017 N 646, приказываю:</w:t>
      </w:r>
      <w:r>
        <w:rPr>
          <w:rFonts w:ascii="Arial" w:hAnsi="Arial" w:cs="Arial"/>
          <w:color w:val="444444"/>
        </w:rPr>
        <w:br/>
      </w:r>
    </w:p>
    <w:p w14:paraId="1DDC6A2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E2214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комиссии по распределению разрешений на добычу охотничьих ресурсов между физическими лицами, осуществляющими охоту в общедоступных охотничьих угодьях Тульской области.</w:t>
      </w:r>
      <w:r>
        <w:rPr>
          <w:rFonts w:ascii="Arial" w:hAnsi="Arial" w:cs="Arial"/>
          <w:color w:val="444444"/>
        </w:rPr>
        <w:br/>
      </w:r>
    </w:p>
    <w:p w14:paraId="1D2488D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A1D82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Приказ вступает в силу со дня его подписания.</w:t>
      </w:r>
      <w:r>
        <w:rPr>
          <w:rFonts w:ascii="Arial" w:hAnsi="Arial" w:cs="Arial"/>
          <w:color w:val="444444"/>
        </w:rPr>
        <w:br/>
      </w:r>
    </w:p>
    <w:p w14:paraId="64EF01CC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24EBF1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приказа возложить на директора департамента охотничьего хозяйства министерства природных ресурсов и экологии Тульской области Королева </w:t>
      </w:r>
      <w:proofErr w:type="gramStart"/>
      <w:r>
        <w:rPr>
          <w:rFonts w:ascii="Arial" w:hAnsi="Arial" w:cs="Arial"/>
          <w:color w:val="444444"/>
        </w:rPr>
        <w:t>А.В.</w:t>
      </w:r>
      <w:proofErr w:type="gramEnd"/>
      <w:r>
        <w:rPr>
          <w:rFonts w:ascii="Arial" w:hAnsi="Arial" w:cs="Arial"/>
          <w:color w:val="444444"/>
        </w:rPr>
        <w:br/>
      </w:r>
    </w:p>
    <w:p w14:paraId="637C478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 природных</w:t>
      </w:r>
      <w:r>
        <w:rPr>
          <w:rFonts w:ascii="Arial" w:hAnsi="Arial" w:cs="Arial"/>
          <w:color w:val="444444"/>
        </w:rPr>
        <w:br/>
        <w:t>ресурсов и экологии</w:t>
      </w:r>
      <w:r>
        <w:rPr>
          <w:rFonts w:ascii="Arial" w:hAnsi="Arial" w:cs="Arial"/>
          <w:color w:val="444444"/>
        </w:rPr>
        <w:br/>
        <w:t>Тульской области</w:t>
      </w:r>
      <w:r>
        <w:rPr>
          <w:rFonts w:ascii="Arial" w:hAnsi="Arial" w:cs="Arial"/>
          <w:color w:val="444444"/>
        </w:rPr>
        <w:br/>
        <w:t>Ю.Ю.ПАНФИЛОВ</w:t>
      </w:r>
    </w:p>
    <w:p w14:paraId="31D1E59C" w14:textId="77777777" w:rsidR="000C7D0E" w:rsidRDefault="000C7D0E" w:rsidP="000C7D0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министерства</w:t>
      </w:r>
      <w:r>
        <w:rPr>
          <w:rFonts w:ascii="Arial" w:hAnsi="Arial" w:cs="Arial"/>
          <w:color w:val="444444"/>
          <w:sz w:val="24"/>
          <w:szCs w:val="24"/>
        </w:rPr>
        <w:br/>
        <w:t>природных 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19.04.2021 N 196-о</w:t>
      </w:r>
    </w:p>
    <w:p w14:paraId="5C624F09" w14:textId="77777777" w:rsidR="000C7D0E" w:rsidRDefault="000C7D0E" w:rsidP="000C7D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</w:r>
      <w:r>
        <w:rPr>
          <w:rFonts w:ascii="Arial" w:hAnsi="Arial" w:cs="Arial"/>
          <w:b/>
          <w:bCs/>
          <w:color w:val="444444"/>
        </w:rPr>
        <w:br/>
        <w:t>ПОЛОЖЕНИЕ О КОМИССИИ ПО РАСПРЕДЕЛЕНИЮ РАЗРЕШЕНИЙ НА ДОБЫЧУ ОХОТНИЧЬИХ РЕСУРСОВ МЕЖДУ ФИЗИЧЕСКИМИ ЛИЦАМИ, ОСУЩЕСТВЛЯЮЩИМИ ОХОТУ В ОБЩЕДОСТУПНЫХ ОХОТНИЧЬИХ УГОДЬЯХ ТУЛЬСКОЙ ОБЛАСТИ</w:t>
      </w:r>
    </w:p>
    <w:p w14:paraId="427F0368" w14:textId="77777777" w:rsidR="000C7D0E" w:rsidRDefault="000C7D0E" w:rsidP="000C7D0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1DB27F48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C9A01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 комиссии по распределению разрешений на добычу охотничьих ресурсов между физическими лицами, осуществляющими охоту в общедоступных охотничьих угодьях Тульской области (далее - Положение), определяет статус, функции, а также регламент работы комиссии по распределению разрешений на добычу охотничьих ресурсов между физическими лицами, осуществляющими охоту в общедоступных охотничьих угодьях Тульской области (далее - Комиссия).</w:t>
      </w:r>
      <w:r>
        <w:rPr>
          <w:rFonts w:ascii="Arial" w:hAnsi="Arial" w:cs="Arial"/>
          <w:color w:val="444444"/>
        </w:rPr>
        <w:br/>
      </w:r>
    </w:p>
    <w:p w14:paraId="4910196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AC60D7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Комиссия создается в целях распределения разрешений на добычу охотничьих ресурсов между физическими лицами, осуществляющими охоту в общедоступных охотничьих угодьях Тульской области, для обеспечения равных возможностей доступа физических лиц к охотничьим ресурсам.</w:t>
      </w:r>
      <w:r>
        <w:rPr>
          <w:rFonts w:ascii="Arial" w:hAnsi="Arial" w:cs="Arial"/>
          <w:color w:val="444444"/>
        </w:rPr>
        <w:br/>
      </w:r>
    </w:p>
    <w:p w14:paraId="350BBD5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6BBD60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Комиссия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нормативными правовыми актами федеральных органов исполнительной власти, законами Тульской области, указами и распоряжениями Губернатора Тульской области, постановлениями и распоряжениями Правительства Тульской области,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264CCEA3" w14:textId="77777777" w:rsidR="000C7D0E" w:rsidRDefault="000C7D0E" w:rsidP="000C7D0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ЗАДАЧИ КОМИССИИ</w:t>
      </w:r>
    </w:p>
    <w:p w14:paraId="6BA016F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E9E3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Распределение разрешений проводится в соответствии со ст. 3 Закона Тульской области от 07.03.2012 N 1732-ЗТО "О регулировании отдельных отношений в сфере охоты и сохранения охотничьих ресурсов на территории Тульской области" (далее - Закон Тульской области N 1732-ЗТО), Приказом Минприроды России от 01.12.2017 N 646 "Об утверждении Методических рекомендаций по распределению разрешений на добычу охотничьих ресурсов между физическими лицами, осуществляющими охоту в общедоступных охотничьих угодьях" (далее - Приказ N 646).</w:t>
      </w:r>
      <w:r>
        <w:rPr>
          <w:rFonts w:ascii="Arial" w:hAnsi="Arial" w:cs="Arial"/>
          <w:color w:val="444444"/>
        </w:rPr>
        <w:br/>
      </w:r>
    </w:p>
    <w:p w14:paraId="1B2931C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83C66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Разрешения на добычу охотничьих ресурсов распределяются между физическими лицами, осуществляющими охоту в общедоступных охотничьих </w:t>
      </w:r>
      <w:r>
        <w:rPr>
          <w:rFonts w:ascii="Arial" w:hAnsi="Arial" w:cs="Arial"/>
          <w:color w:val="444444"/>
        </w:rPr>
        <w:lastRenderedPageBreak/>
        <w:t>угодьях на территории области, в порядке очередности с учетом даты и времени поступления их заявлений на получение разрешений на добычу охотничьих ресурсов. Заявки на получение разрешений на добычу охотничьих ресурсов направляются в уполномоченный орган не ранее чем за один месяц до начала срока сезона охоты.</w:t>
      </w:r>
      <w:r>
        <w:rPr>
          <w:rFonts w:ascii="Arial" w:hAnsi="Arial" w:cs="Arial"/>
          <w:color w:val="444444"/>
        </w:rPr>
        <w:br/>
      </w:r>
    </w:p>
    <w:p w14:paraId="37E1CE00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8B1A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Разрешения на добычу охотничьих ресурсов, в отношении которых установлен лимит добычи, распределяются в следующей пропорции:</w:t>
      </w:r>
      <w:r>
        <w:rPr>
          <w:rFonts w:ascii="Arial" w:hAnsi="Arial" w:cs="Arial"/>
          <w:color w:val="444444"/>
        </w:rPr>
        <w:br/>
      </w:r>
    </w:p>
    <w:p w14:paraId="1EB399A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1B4535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восемьдесят процентов разрешений на добычу охотничьих ресурсов - физическим лицам, участвующим в течение года до даты обращения с заявлением в мероприятиях (по определению численности охотничьих ресурсов, по регулированию численности охотничьих ресурсов, по сохранению охотничьих ресурсов и среды их обитания, по поддержанию и увеличению численности охотничьих ресурсов) в общедоступных охотничьих угодьях на территории Тульской области;</w:t>
      </w:r>
      <w:r>
        <w:rPr>
          <w:rFonts w:ascii="Arial" w:hAnsi="Arial" w:cs="Arial"/>
          <w:color w:val="444444"/>
        </w:rPr>
        <w:br/>
      </w:r>
    </w:p>
    <w:p w14:paraId="103AE76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CC630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двадцать процентов разрешений на добычу охотничьих ресурсов - остальным физическим лицам, осуществляющим охоту в общедоступных охотничьих угодьях на территории Тульской области.</w:t>
      </w:r>
      <w:r>
        <w:rPr>
          <w:rFonts w:ascii="Arial" w:hAnsi="Arial" w:cs="Arial"/>
          <w:color w:val="444444"/>
        </w:rPr>
        <w:br/>
      </w:r>
    </w:p>
    <w:p w14:paraId="41FF48F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E6A77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Распределение разрешений осуществляется по заявкам, поступившим в департамент охотничьего хозяйства министерства природных ресурсов и экологии Тульской области (далее - департамент) от охотников, имеющих действительные охотничьи билеты единого федерального образца.</w:t>
      </w:r>
      <w:r>
        <w:rPr>
          <w:rFonts w:ascii="Arial" w:hAnsi="Arial" w:cs="Arial"/>
          <w:color w:val="444444"/>
        </w:rPr>
        <w:br/>
      </w:r>
    </w:p>
    <w:p w14:paraId="4D674F6A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E7CD6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Образцы заявок размещаются на официальном сайте департамента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36E7E3BA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82312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 могут быть поданы в департамент лично, заказным почтовым отправлением с уведомлением о вручении либо с использованием информационно-телекоммуникационных технологий в форме электронных документов. В последнем случае заявка должна быть подписана простой электронной подписью или усиленной квалифицированной электронной подписью.</w:t>
      </w:r>
      <w:r>
        <w:rPr>
          <w:rFonts w:ascii="Arial" w:hAnsi="Arial" w:cs="Arial"/>
          <w:color w:val="444444"/>
        </w:rPr>
        <w:br/>
      </w:r>
    </w:p>
    <w:p w14:paraId="2E0654D6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F173C7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Датой получения заявки считается день ее поступления в департамент.</w:t>
      </w:r>
      <w:r>
        <w:rPr>
          <w:rFonts w:ascii="Arial" w:hAnsi="Arial" w:cs="Arial"/>
          <w:color w:val="444444"/>
        </w:rPr>
        <w:br/>
      </w:r>
    </w:p>
    <w:p w14:paraId="20F37190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5853B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регистрации применяется сквозная нумерация по очередности поступления заявок по всем видам охотничьих ресурсов.</w:t>
      </w:r>
      <w:r>
        <w:rPr>
          <w:rFonts w:ascii="Arial" w:hAnsi="Arial" w:cs="Arial"/>
          <w:color w:val="444444"/>
        </w:rPr>
        <w:br/>
      </w:r>
    </w:p>
    <w:p w14:paraId="75915CD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47701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заявка передается должностному лицу департамента.</w:t>
      </w:r>
      <w:r>
        <w:rPr>
          <w:rFonts w:ascii="Arial" w:hAnsi="Arial" w:cs="Arial"/>
          <w:color w:val="444444"/>
        </w:rPr>
        <w:br/>
      </w:r>
    </w:p>
    <w:p w14:paraId="147650C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5E652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 департамента в течение семи календарных дней со дня поступления заявки принимает решение о приеме заявки к рассмотрению либо об отказе в приеме заявки к рассмотрению.</w:t>
      </w:r>
      <w:r>
        <w:rPr>
          <w:rFonts w:ascii="Arial" w:hAnsi="Arial" w:cs="Arial"/>
          <w:color w:val="444444"/>
        </w:rPr>
        <w:br/>
      </w:r>
    </w:p>
    <w:p w14:paraId="6F618D36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33E04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отказе в приеме заявки к рассмотрению принимается в следующих случаях:</w:t>
      </w:r>
      <w:r>
        <w:rPr>
          <w:rFonts w:ascii="Arial" w:hAnsi="Arial" w:cs="Arial"/>
          <w:color w:val="444444"/>
        </w:rPr>
        <w:br/>
      </w:r>
    </w:p>
    <w:p w14:paraId="3C1EDA6C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AE3934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не соблюдены требования к содержанию заявки, предусмотренные в 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п. 20 Положения;</w:t>
      </w:r>
      <w:r>
        <w:rPr>
          <w:rFonts w:ascii="Arial" w:hAnsi="Arial" w:cs="Arial"/>
          <w:color w:val="444444"/>
        </w:rPr>
        <w:br/>
      </w:r>
    </w:p>
    <w:p w14:paraId="64D53CC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A9E86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заявке указаны недостоверные сведения;</w:t>
      </w:r>
      <w:r>
        <w:rPr>
          <w:rFonts w:ascii="Arial" w:hAnsi="Arial" w:cs="Arial"/>
          <w:color w:val="444444"/>
        </w:rPr>
        <w:br/>
      </w:r>
    </w:p>
    <w:p w14:paraId="57F065E7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8225FC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заявка подана с нарушением сроков подачи заявок, установленных в п. 5 Положения;</w:t>
      </w:r>
      <w:r>
        <w:rPr>
          <w:rFonts w:ascii="Arial" w:hAnsi="Arial" w:cs="Arial"/>
          <w:color w:val="444444"/>
        </w:rPr>
        <w:br/>
      </w:r>
    </w:p>
    <w:p w14:paraId="67F810E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E793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 заявке указаны сведения о добываемом охотничьем ресурсе, в отношении которого на участке общедоступных охотничьих угодий на территории Тульской области, на котором предполагается осуществлять охоту, установлена квота добычи охотничьих ресурсов, равная нулю;</w:t>
      </w:r>
      <w:r>
        <w:rPr>
          <w:rFonts w:ascii="Arial" w:hAnsi="Arial" w:cs="Arial"/>
          <w:color w:val="444444"/>
        </w:rPr>
        <w:br/>
      </w:r>
    </w:p>
    <w:p w14:paraId="6A6DFFE2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E826E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 заявке указаны сведения о добываемом охотничьем ресурсе, в отношении которого на участке общедоступных охотничьих угодий на территории Тульской области, на котором предполагается осуществлять охоту, установлена норма допустимой добычи, равная нулю.</w:t>
      </w:r>
      <w:r>
        <w:rPr>
          <w:rFonts w:ascii="Arial" w:hAnsi="Arial" w:cs="Arial"/>
          <w:color w:val="444444"/>
        </w:rPr>
        <w:br/>
      </w:r>
    </w:p>
    <w:p w14:paraId="76DE7D11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0DD7A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в течение трех календарных дней со дня принятия решения о приеме заявки к рассмотрению либо об отказе в приеме заявки к рассмотрению размещает информацию о таком решении на своем официальном сайте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14ED652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EDFE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каждый участок общедоступных охотничьих угодий на территории Тульской области формируется реестр заявок отдельно по видам охотничьих ресурсов и по возрасту.</w:t>
      </w:r>
      <w:r>
        <w:rPr>
          <w:rFonts w:ascii="Arial" w:hAnsi="Arial" w:cs="Arial"/>
          <w:color w:val="444444"/>
        </w:rPr>
        <w:br/>
      </w:r>
    </w:p>
    <w:p w14:paraId="56F0DDD0" w14:textId="77777777" w:rsidR="000C7D0E" w:rsidRDefault="000C7D0E" w:rsidP="000C7D0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ОРГАНИЗАЦИЯ ДЕЯТЕЛЬНОСТИ КОМИССИИ</w:t>
      </w:r>
    </w:p>
    <w:p w14:paraId="717A4B40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5DC85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Состав Комиссии утверждается приказом министерства природных ресурсов и экологии Тульской области (далее - министерство).</w:t>
      </w:r>
      <w:r>
        <w:rPr>
          <w:rFonts w:ascii="Arial" w:hAnsi="Arial" w:cs="Arial"/>
          <w:color w:val="444444"/>
        </w:rPr>
        <w:br/>
      </w:r>
    </w:p>
    <w:p w14:paraId="2509C757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1132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8. Комиссия обязана обеспечить проведение распределения разрешений в соответствии с Законом Тульской области N 1732-ЗТО и Приказом N 646.</w:t>
      </w:r>
      <w:r>
        <w:rPr>
          <w:rFonts w:ascii="Arial" w:hAnsi="Arial" w:cs="Arial"/>
          <w:color w:val="444444"/>
        </w:rPr>
        <w:br/>
      </w:r>
    </w:p>
    <w:p w14:paraId="0CB94C2A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B9E2F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Члены Комиссии обязаны присутствовать на заседании Комиссии.</w:t>
      </w:r>
      <w:r>
        <w:rPr>
          <w:rFonts w:ascii="Arial" w:hAnsi="Arial" w:cs="Arial"/>
          <w:color w:val="444444"/>
        </w:rPr>
        <w:br/>
      </w:r>
    </w:p>
    <w:p w14:paraId="41E0410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AF9B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Дата, время и место работы Комиссии определяются директором департамента охотничьего хозяйства министерства природных ресурсов и экологии Тульской области в зависимости от даты, времени и места проведения распределения разрешений.</w:t>
      </w:r>
      <w:r>
        <w:rPr>
          <w:rFonts w:ascii="Arial" w:hAnsi="Arial" w:cs="Arial"/>
          <w:color w:val="444444"/>
        </w:rPr>
        <w:br/>
      </w:r>
    </w:p>
    <w:p w14:paraId="32BBA5D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D635A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Заседание Комиссии считается правомочным, если на нем присутствует не менее пятидесяти процентов от общего числа членов Комиссии, включая председателя и секретаря Комиссии.</w:t>
      </w:r>
      <w:r>
        <w:rPr>
          <w:rFonts w:ascii="Arial" w:hAnsi="Arial" w:cs="Arial"/>
          <w:color w:val="444444"/>
        </w:rPr>
        <w:br/>
      </w:r>
    </w:p>
    <w:p w14:paraId="2BD5D80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CD8EDC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кворума заседание Комиссии считается несостоявшимся.</w:t>
      </w:r>
      <w:r>
        <w:rPr>
          <w:rFonts w:ascii="Arial" w:hAnsi="Arial" w:cs="Arial"/>
          <w:color w:val="444444"/>
        </w:rPr>
        <w:br/>
      </w:r>
    </w:p>
    <w:p w14:paraId="79EE739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D5A114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Участвующие члены Комиссии перед началом распределения разрешений должны быть занесены секретарем Комиссии в протокол проведения распределения разрешений (далее - Протокол).</w:t>
      </w:r>
      <w:r>
        <w:rPr>
          <w:rFonts w:ascii="Arial" w:hAnsi="Arial" w:cs="Arial"/>
          <w:color w:val="444444"/>
        </w:rPr>
        <w:br/>
      </w:r>
    </w:p>
    <w:p w14:paraId="5D9156B4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B81A7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Члены Комиссии принимают решение об утверждении результата распределения разрешений путем открытого голосования.</w:t>
      </w:r>
      <w:r>
        <w:rPr>
          <w:rFonts w:ascii="Arial" w:hAnsi="Arial" w:cs="Arial"/>
          <w:color w:val="444444"/>
        </w:rPr>
        <w:br/>
      </w:r>
    </w:p>
    <w:p w14:paraId="50DB6633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C83C1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Секретарь Комиссии осуществляет организационно-техническое и документационное обеспечение деятельности Комиссии, координирует подготовку документов, необходимых для работы Комиссии, оповещает членов Комиссии о дате, месте и времени проведения заседания, ведет протокол результатов распределения разрешений.</w:t>
      </w:r>
      <w:r>
        <w:rPr>
          <w:rFonts w:ascii="Arial" w:hAnsi="Arial" w:cs="Arial"/>
          <w:color w:val="444444"/>
        </w:rPr>
        <w:br/>
      </w:r>
    </w:p>
    <w:p w14:paraId="0B8732B2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09740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Председатель Комиссии несет личную ответственность за объективность проведения распределения разрешений, верность ее результатов, соблюдение при проведении распределения разрешений установленного порядка.</w:t>
      </w:r>
      <w:r>
        <w:rPr>
          <w:rFonts w:ascii="Arial" w:hAnsi="Arial" w:cs="Arial"/>
          <w:color w:val="444444"/>
        </w:rPr>
        <w:br/>
      </w:r>
    </w:p>
    <w:p w14:paraId="7DA7621D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BFA02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Решения Комиссии оформляются Протоколом, в котором фиксируются результаты распределения разрешений.</w:t>
      </w:r>
      <w:r>
        <w:rPr>
          <w:rFonts w:ascii="Arial" w:hAnsi="Arial" w:cs="Arial"/>
          <w:color w:val="444444"/>
        </w:rPr>
        <w:br/>
      </w:r>
    </w:p>
    <w:p w14:paraId="5E62E1C9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CCBAA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В Протоколе допускаются исправления.</w:t>
      </w:r>
      <w:r>
        <w:rPr>
          <w:rFonts w:ascii="Arial" w:hAnsi="Arial" w:cs="Arial"/>
          <w:color w:val="444444"/>
        </w:rPr>
        <w:br/>
      </w:r>
    </w:p>
    <w:p w14:paraId="589E04F5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3120CB" w14:textId="77777777" w:rsidR="000C7D0E" w:rsidRDefault="000C7D0E" w:rsidP="000C7D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Исправления в Протоколе, связанные с неточностями при внесении данных в Протокол, заверяются председателем, секретарем и членами Комиссии.</w:t>
      </w:r>
      <w:r>
        <w:rPr>
          <w:rFonts w:ascii="Arial" w:hAnsi="Arial" w:cs="Arial"/>
          <w:color w:val="444444"/>
        </w:rPr>
        <w:br/>
      </w:r>
    </w:p>
    <w:p w14:paraId="14C3D3E8" w14:textId="77777777" w:rsidR="000C7D0E" w:rsidRDefault="000C7D0E" w:rsidP="000C7D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Раздел IV. ПОРЯДОК ПРОВЕДЕНИЯ РАСПРЕДЕЛЕНИЯ РАЗРЕШЕНИЙ</w:t>
      </w:r>
    </w:p>
    <w:p w14:paraId="37A51BB0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3EF73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Заседание Комиссии проводится в соответствии с порядком, установленным ст. 3 Закона Тульской области N 1732-ЗТО.</w:t>
      </w:r>
      <w:r>
        <w:rPr>
          <w:rFonts w:ascii="Arial" w:hAnsi="Arial" w:cs="Arial"/>
          <w:color w:val="444444"/>
        </w:rPr>
        <w:br/>
      </w:r>
    </w:p>
    <w:p w14:paraId="01A5F7AE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B8D13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При проведении распределения разрешений допускается только личное присутствие члена Комиссии. Иные лица могут присутствовать в зале в качестве наблюдателей.</w:t>
      </w:r>
      <w:r>
        <w:rPr>
          <w:rFonts w:ascii="Arial" w:hAnsi="Arial" w:cs="Arial"/>
          <w:color w:val="444444"/>
        </w:rPr>
        <w:br/>
      </w:r>
    </w:p>
    <w:p w14:paraId="56FFFAF4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B3AE8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Непосредственно перед началом распределения разрешений секретарь Комиссии объявляет:</w:t>
      </w:r>
      <w:r>
        <w:rPr>
          <w:rFonts w:ascii="Arial" w:hAnsi="Arial" w:cs="Arial"/>
          <w:color w:val="444444"/>
        </w:rPr>
        <w:br/>
      </w:r>
    </w:p>
    <w:p w14:paraId="221FAF13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C28BF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дату, время и место проведения распределения разрешений;</w:t>
      </w:r>
      <w:r>
        <w:rPr>
          <w:rFonts w:ascii="Arial" w:hAnsi="Arial" w:cs="Arial"/>
          <w:color w:val="444444"/>
        </w:rPr>
        <w:br/>
      </w:r>
    </w:p>
    <w:p w14:paraId="0003EDC0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4815E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сведения о членах Комиссии, присутствующих либо отсутствующих при проведении распределения разрешений, и необходимом кворуме согласно Положению о Комиссии;</w:t>
      </w:r>
      <w:r>
        <w:rPr>
          <w:rFonts w:ascii="Arial" w:hAnsi="Arial" w:cs="Arial"/>
          <w:color w:val="444444"/>
        </w:rPr>
        <w:br/>
      </w:r>
    </w:p>
    <w:p w14:paraId="5AA3C9D7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32AD6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наименование общедоступного охотничьего угодья Тульской области;</w:t>
      </w:r>
      <w:r>
        <w:rPr>
          <w:rFonts w:ascii="Arial" w:hAnsi="Arial" w:cs="Arial"/>
          <w:color w:val="444444"/>
        </w:rPr>
        <w:br/>
      </w:r>
    </w:p>
    <w:p w14:paraId="3B0F414A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487CCA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вид охотничьих ресурсов;</w:t>
      </w:r>
      <w:r>
        <w:rPr>
          <w:rFonts w:ascii="Arial" w:hAnsi="Arial" w:cs="Arial"/>
          <w:color w:val="444444"/>
        </w:rPr>
        <w:br/>
      </w:r>
    </w:p>
    <w:p w14:paraId="1EE8211C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AECD6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количество разрешений для распределения;</w:t>
      </w:r>
      <w:r>
        <w:rPr>
          <w:rFonts w:ascii="Arial" w:hAnsi="Arial" w:cs="Arial"/>
          <w:color w:val="444444"/>
        </w:rPr>
        <w:br/>
      </w:r>
    </w:p>
    <w:p w14:paraId="376CBA64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75057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количество рассматриваемых заявок, содержащих следующие сведения:</w:t>
      </w:r>
      <w:r>
        <w:rPr>
          <w:rFonts w:ascii="Arial" w:hAnsi="Arial" w:cs="Arial"/>
          <w:color w:val="444444"/>
        </w:rPr>
        <w:br/>
      </w:r>
    </w:p>
    <w:p w14:paraId="2211F46C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A8C68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фамилию, имя, отчество (при наличии) физического лица;</w:t>
      </w:r>
      <w:r>
        <w:rPr>
          <w:rFonts w:ascii="Arial" w:hAnsi="Arial" w:cs="Arial"/>
          <w:color w:val="444444"/>
        </w:rPr>
        <w:br/>
      </w:r>
    </w:p>
    <w:p w14:paraId="4C493BF6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E1F77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номер телефона, почтовый адрес и адрес электронной почты, по которым осуществляется связь с физическим лицом;</w:t>
      </w:r>
      <w:r>
        <w:rPr>
          <w:rFonts w:ascii="Arial" w:hAnsi="Arial" w:cs="Arial"/>
          <w:color w:val="444444"/>
        </w:rPr>
        <w:br/>
      </w:r>
    </w:p>
    <w:p w14:paraId="5759DC90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F7354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дату выдачи охотничьего билета единого федерального образца и его учетные серию и номер;</w:t>
      </w:r>
      <w:r>
        <w:rPr>
          <w:rFonts w:ascii="Arial" w:hAnsi="Arial" w:cs="Arial"/>
          <w:color w:val="444444"/>
        </w:rPr>
        <w:br/>
      </w:r>
    </w:p>
    <w:p w14:paraId="27A83063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51BC1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вид охоты, который предполагается осуществлять;</w:t>
      </w:r>
      <w:r>
        <w:rPr>
          <w:rFonts w:ascii="Arial" w:hAnsi="Arial" w:cs="Arial"/>
          <w:color w:val="444444"/>
        </w:rPr>
        <w:br/>
      </w:r>
    </w:p>
    <w:p w14:paraId="2E16BA7E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FD458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сведения о добываемом охотничьем ресурсе;</w:t>
      </w:r>
      <w:r>
        <w:rPr>
          <w:rFonts w:ascii="Arial" w:hAnsi="Arial" w:cs="Arial"/>
          <w:color w:val="444444"/>
        </w:rPr>
        <w:br/>
      </w:r>
    </w:p>
    <w:p w14:paraId="6760DFAC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71B9F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предполагаемые сроки охоты, соответствующие срокам охоты на соответствующий вид охотничьих ресурсов, установленным правилами охоты и применяемым с учетом параметров осуществления охоты в соответствующих охотничьих угодьях (далее - срок охоты на соответствующий вид охотничьих ресурсов);</w:t>
      </w:r>
      <w:r>
        <w:rPr>
          <w:rFonts w:ascii="Arial" w:hAnsi="Arial" w:cs="Arial"/>
          <w:color w:val="444444"/>
        </w:rPr>
        <w:br/>
      </w:r>
    </w:p>
    <w:p w14:paraId="47F791C5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FFB0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сведения об участке общедоступных охотничьих угодий на территории Тульской области, на котором предполагается осуществлять охоту;</w:t>
      </w:r>
      <w:r>
        <w:rPr>
          <w:rFonts w:ascii="Arial" w:hAnsi="Arial" w:cs="Arial"/>
          <w:color w:val="444444"/>
        </w:rPr>
        <w:br/>
      </w:r>
    </w:p>
    <w:p w14:paraId="376DE175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6F1C0D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подпись физического лица (охотника).</w:t>
      </w:r>
      <w:r>
        <w:rPr>
          <w:rFonts w:ascii="Arial" w:hAnsi="Arial" w:cs="Arial"/>
          <w:color w:val="444444"/>
        </w:rPr>
        <w:br/>
      </w:r>
    </w:p>
    <w:p w14:paraId="7A93CA54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5EDC8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При принятии решения о распределении разрешений на добычу охотничьих ресурсов, в отношении которых установлен лимит добычи, между физическими лицами, участвующими в течение года до даты обращения с заявлением в мероприятиях (по определению численности охотничьих ресурсов, по регулированию численности охотничьих ресурсов, по сохранению охотничьих ресурсов и среды их обитания, по поддержанию и увеличению численности охотничьих ресурсов) в общедоступных охотничьих угодьях на территории Тульской области, Комиссия в обязательном порядке учитывает содержание служебных записок, поданных ответственными сотрудниками (государственными инспекторами) департамента.</w:t>
      </w:r>
      <w:r>
        <w:rPr>
          <w:rFonts w:ascii="Arial" w:hAnsi="Arial" w:cs="Arial"/>
          <w:color w:val="444444"/>
        </w:rPr>
        <w:br/>
      </w:r>
    </w:p>
    <w:p w14:paraId="4E3FCF79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7292E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Служебная записка составляется государственным инспектором, закрепленным за конкретным административным районом или городским округом Тульской области в соответствии с приказом министерства природных ресурсов и экологии Тульской области о дислокации в отношении конкретного физического лица, содействующего в деятельности общедоступных охотничьих угодий на территории закрепленного за государственным инспектором района или городского округа.</w:t>
      </w:r>
      <w:r>
        <w:rPr>
          <w:rFonts w:ascii="Arial" w:hAnsi="Arial" w:cs="Arial"/>
          <w:color w:val="444444"/>
        </w:rPr>
        <w:br/>
      </w:r>
    </w:p>
    <w:p w14:paraId="0AC3837C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7E140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Служебная записка составляется в свободной форме с указанием конкретного перечня мероприятий, в которых участвовало физическое лицо, и степенью его участия.</w:t>
      </w:r>
      <w:r>
        <w:rPr>
          <w:rFonts w:ascii="Arial" w:hAnsi="Arial" w:cs="Arial"/>
          <w:color w:val="444444"/>
        </w:rPr>
        <w:br/>
      </w:r>
    </w:p>
    <w:p w14:paraId="22A911E1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FBAB8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Результаты проведения распределения разрешений оформляются Протоколом, который подписывается председателем Комиссии, секретарем и членами Комиссии.</w:t>
      </w:r>
      <w:r>
        <w:rPr>
          <w:rFonts w:ascii="Arial" w:hAnsi="Arial" w:cs="Arial"/>
          <w:color w:val="444444"/>
        </w:rPr>
        <w:br/>
      </w:r>
    </w:p>
    <w:p w14:paraId="1B4AFC1A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B625BF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результатов распределения разрешений содержит следующие сведения:</w:t>
      </w:r>
      <w:r>
        <w:rPr>
          <w:rFonts w:ascii="Arial" w:hAnsi="Arial" w:cs="Arial"/>
          <w:color w:val="444444"/>
        </w:rPr>
        <w:br/>
      </w:r>
    </w:p>
    <w:p w14:paraId="34D2E1FC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3452F8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сведения, указанные в п. 20 настоящего Положения;</w:t>
      </w:r>
      <w:r>
        <w:rPr>
          <w:rFonts w:ascii="Arial" w:hAnsi="Arial" w:cs="Arial"/>
          <w:color w:val="444444"/>
        </w:rPr>
        <w:br/>
      </w:r>
    </w:p>
    <w:p w14:paraId="075FC672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CA86F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регистрационные номера заявок, серии и номера охотничьих билетов физических лиц, которым по результатам указанного мероприятия распределены разрешения;</w:t>
      </w:r>
      <w:r>
        <w:rPr>
          <w:rFonts w:ascii="Arial" w:hAnsi="Arial" w:cs="Arial"/>
          <w:color w:val="444444"/>
        </w:rPr>
        <w:br/>
      </w:r>
    </w:p>
    <w:p w14:paraId="17E65376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1CA4FD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регистрационные номера заявок, серии и номера охотничьих билетов физических лиц, которым по результатам указанного мероприятия не распределены разрешения;</w:t>
      </w:r>
      <w:r>
        <w:rPr>
          <w:rFonts w:ascii="Arial" w:hAnsi="Arial" w:cs="Arial"/>
          <w:color w:val="444444"/>
        </w:rPr>
        <w:br/>
      </w:r>
    </w:p>
    <w:p w14:paraId="37F2854A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02BD7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порядковые номера, присвоенные заявкам по результатам распределения разрешений.</w:t>
      </w:r>
      <w:r>
        <w:rPr>
          <w:rFonts w:ascii="Arial" w:hAnsi="Arial" w:cs="Arial"/>
          <w:color w:val="444444"/>
        </w:rPr>
        <w:br/>
      </w:r>
    </w:p>
    <w:p w14:paraId="31CECDA5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B3F434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Приложением к Протоколу является реестр, сформированный департаментом по каждому общедоступному охотничьему угодью в отношении каждого вида охотничьих ресурсов (с учетом их пола и возраста).</w:t>
      </w:r>
      <w:r>
        <w:rPr>
          <w:rFonts w:ascii="Arial" w:hAnsi="Arial" w:cs="Arial"/>
          <w:color w:val="444444"/>
        </w:rPr>
        <w:br/>
      </w:r>
    </w:p>
    <w:p w14:paraId="43AC50BF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A291C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Протокол является основанием для уведомления физических лиц, участвовавших в распределении разрешений о результатах ее проведения.</w:t>
      </w:r>
      <w:r>
        <w:rPr>
          <w:rFonts w:ascii="Arial" w:hAnsi="Arial" w:cs="Arial"/>
          <w:color w:val="444444"/>
        </w:rPr>
        <w:br/>
      </w:r>
    </w:p>
    <w:p w14:paraId="2BBEF900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344F3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Физические лица уведомляются о результатах распределения разрешений путем размещения департаментом на своем официальном сайте в информационно-телекоммуникационной сети "Интернет" в течение 5 календарных дней после проведения распределения разрешений следующей информации:</w:t>
      </w:r>
      <w:r>
        <w:rPr>
          <w:rFonts w:ascii="Arial" w:hAnsi="Arial" w:cs="Arial"/>
          <w:color w:val="444444"/>
        </w:rPr>
        <w:br/>
      </w:r>
    </w:p>
    <w:p w14:paraId="7358F0D8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1C951E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общедоступного охотничьего угодья Тульской области;</w:t>
      </w:r>
      <w:r>
        <w:rPr>
          <w:rFonts w:ascii="Arial" w:hAnsi="Arial" w:cs="Arial"/>
          <w:color w:val="444444"/>
        </w:rPr>
        <w:br/>
      </w:r>
    </w:p>
    <w:p w14:paraId="0191631D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40063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вид охотничьего ресурса, в отношении которого проводилось распределения разрешений (с указанием в установленных случаях пола и возраста);</w:t>
      </w:r>
      <w:r>
        <w:rPr>
          <w:rFonts w:ascii="Arial" w:hAnsi="Arial" w:cs="Arial"/>
          <w:color w:val="444444"/>
        </w:rPr>
        <w:br/>
      </w:r>
    </w:p>
    <w:p w14:paraId="65DFC04A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E0B28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регистрационные номера заявок, серии и номера охотничьих билетов физических лиц, которым распределены разрешения;</w:t>
      </w:r>
      <w:r>
        <w:rPr>
          <w:rFonts w:ascii="Arial" w:hAnsi="Arial" w:cs="Arial"/>
          <w:color w:val="444444"/>
        </w:rPr>
        <w:br/>
      </w:r>
    </w:p>
    <w:p w14:paraId="6E2D77C6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58D080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регистрационные номера заявок, серии и номера охотничьих билетов физических лиц, которым не распределены разрешения.</w:t>
      </w:r>
      <w:r>
        <w:rPr>
          <w:rFonts w:ascii="Arial" w:hAnsi="Arial" w:cs="Arial"/>
          <w:color w:val="444444"/>
        </w:rPr>
        <w:br/>
      </w:r>
    </w:p>
    <w:p w14:paraId="2743BC28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61575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После объявления о завершении распределения разрешений члены Комиссии, не выходя из помещения, подписывают Протокол.</w:t>
      </w:r>
      <w:r>
        <w:rPr>
          <w:rFonts w:ascii="Arial" w:hAnsi="Arial" w:cs="Arial"/>
          <w:color w:val="444444"/>
        </w:rPr>
        <w:br/>
      </w:r>
    </w:p>
    <w:p w14:paraId="54C21BEB" w14:textId="77777777" w:rsidR="000C7D0E" w:rsidRDefault="000C7D0E" w:rsidP="000C7D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5EE4C" w14:textId="77777777" w:rsidR="000C7D0E" w:rsidRDefault="000C7D0E" w:rsidP="000C7D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Контроль за деятельностью Комиссии осуществляет председатель Комиссии.</w:t>
      </w:r>
    </w:p>
    <w:p w14:paraId="1F83B0FA" w14:textId="77777777" w:rsidR="000C7D0E" w:rsidRDefault="000C7D0E" w:rsidP="000C7D0E"/>
    <w:p w14:paraId="16CE428C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7D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C7D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C7D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C7D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C7D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C7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C7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