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90F3686" w14:textId="77777777" w:rsidR="001D00DE" w:rsidRPr="001D00DE" w:rsidRDefault="001D00DE" w:rsidP="001D00D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D00DE">
        <w:rPr>
          <w:rFonts w:ascii="Arial" w:hAnsi="Arial" w:cs="Arial"/>
          <w:sz w:val="24"/>
          <w:szCs w:val="24"/>
        </w:rPr>
        <w:t>ЗАКОН</w:t>
      </w:r>
      <w:r w:rsidRPr="001D00DE">
        <w:rPr>
          <w:rFonts w:ascii="Arial" w:hAnsi="Arial" w:cs="Arial"/>
          <w:sz w:val="24"/>
          <w:szCs w:val="24"/>
        </w:rPr>
        <w:br/>
      </w:r>
      <w:r w:rsidRPr="001D00DE">
        <w:rPr>
          <w:rFonts w:ascii="Arial" w:hAnsi="Arial" w:cs="Arial"/>
          <w:sz w:val="24"/>
          <w:szCs w:val="24"/>
        </w:rPr>
        <w:br/>
        <w:t>УЛЬЯНОВСКОЙ ОБЛАСТИ</w:t>
      </w:r>
    </w:p>
    <w:p w14:paraId="67AB9223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3C12324A" w14:textId="77777777" w:rsidR="001D00DE" w:rsidRPr="001D00DE" w:rsidRDefault="001D00DE" w:rsidP="001D00D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D00DE">
        <w:rPr>
          <w:rFonts w:ascii="Arial" w:hAnsi="Arial" w:cs="Arial"/>
          <w:b/>
          <w:bCs/>
        </w:rPr>
        <w:t>О РЕГУЛИРОВАНИИ НА ТЕРРИТОРИИ УЛЬЯНОВСКОЙ ОБЛАСТИ</w:t>
      </w:r>
      <w:r w:rsidRPr="001D00DE">
        <w:rPr>
          <w:rFonts w:ascii="Arial" w:hAnsi="Arial" w:cs="Arial"/>
          <w:b/>
          <w:bCs/>
        </w:rPr>
        <w:br/>
        <w:t>НЕКОТОРЫХ ВОПРОСОВ В СФЕРЕ ОХОТЫ И ОХОТНИЧЬЕГО ХОЗЯЙСТВА</w:t>
      </w:r>
    </w:p>
    <w:p w14:paraId="2120181A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(с изменениями на 30 июля 2021 года)</w:t>
      </w:r>
    </w:p>
    <w:p w14:paraId="67496167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____________________________________________________________________</w:t>
      </w:r>
      <w:r w:rsidRPr="001D00DE">
        <w:rPr>
          <w:rFonts w:ascii="Arial" w:hAnsi="Arial" w:cs="Arial"/>
        </w:rPr>
        <w:br/>
        <w:t>Документ с изменениями, внесенными на основании</w:t>
      </w:r>
      <w:r w:rsidRPr="001D00DE">
        <w:rPr>
          <w:rFonts w:ascii="Arial" w:hAnsi="Arial" w:cs="Arial"/>
        </w:rPr>
        <w:br/>
        <w:t>     Закона Ульяновской области от 02.10.2013 N 183-ЗО</w:t>
      </w:r>
      <w:r w:rsidRPr="001D00DE">
        <w:rPr>
          <w:rFonts w:ascii="Arial" w:hAnsi="Arial" w:cs="Arial"/>
        </w:rPr>
        <w:br/>
        <w:t>     Закона Ульяновской области от 30.07.2021 N 76-ЗО</w:t>
      </w:r>
      <w:r w:rsidRPr="001D00DE">
        <w:rPr>
          <w:rFonts w:ascii="Arial" w:hAnsi="Arial" w:cs="Arial"/>
        </w:rPr>
        <w:br/>
        <w:t>____________________________________________________________________</w:t>
      </w:r>
    </w:p>
    <w:p w14:paraId="052AA2F5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Принят</w:t>
      </w:r>
      <w:r w:rsidRPr="001D00DE">
        <w:rPr>
          <w:rFonts w:ascii="Arial" w:hAnsi="Arial" w:cs="Arial"/>
        </w:rPr>
        <w:br/>
        <w:t>Законодательным Собранием</w:t>
      </w:r>
      <w:r w:rsidRPr="001D00DE">
        <w:rPr>
          <w:rFonts w:ascii="Arial" w:hAnsi="Arial" w:cs="Arial"/>
        </w:rPr>
        <w:br/>
        <w:t>Ульяновской области</w:t>
      </w:r>
      <w:r w:rsidRPr="001D00DE">
        <w:rPr>
          <w:rFonts w:ascii="Arial" w:hAnsi="Arial" w:cs="Arial"/>
        </w:rPr>
        <w:br/>
        <w:t>15 декабря 2010 года</w:t>
      </w:r>
    </w:p>
    <w:p w14:paraId="4FBA521E" w14:textId="77777777" w:rsidR="001D00DE" w:rsidRPr="001D00DE" w:rsidRDefault="001D00DE" w:rsidP="001D00DE">
      <w:pPr>
        <w:pStyle w:val="3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D00DE">
        <w:rPr>
          <w:rFonts w:ascii="Arial" w:hAnsi="Arial" w:cs="Arial"/>
          <w:color w:val="auto"/>
          <w:sz w:val="24"/>
          <w:szCs w:val="24"/>
        </w:rPr>
        <w:t>     Статья 1. Предмет регулирования настоящего Закона</w:t>
      </w:r>
    </w:p>
    <w:p w14:paraId="39ED1CD2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877688C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Настоящий Закон в соответствии с 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 (далее - Федеральный закон "Об охоте и о сохранении охотничьих ресурсов и о внесении изменений в отдельные законодательные акты Российской Федерации") регулирует отношения, возникающие в связи с осуществлением на территории Ульяновской области отдельных видов деятельности в сфере охоты и охотничьего хозяйства.</w:t>
      </w:r>
    </w:p>
    <w:p w14:paraId="77F2AEE7" w14:textId="77777777" w:rsidR="001D00DE" w:rsidRPr="001D00DE" w:rsidRDefault="001D00DE" w:rsidP="001D00DE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1D00DE">
        <w:rPr>
          <w:rFonts w:ascii="Arial" w:hAnsi="Arial" w:cs="Arial"/>
          <w:b/>
          <w:bCs/>
        </w:rPr>
        <w:t> </w:t>
      </w:r>
    </w:p>
    <w:p w14:paraId="342CD146" w14:textId="77777777" w:rsidR="001D00DE" w:rsidRPr="001D00DE" w:rsidRDefault="001D00DE" w:rsidP="001D00DE">
      <w:pPr>
        <w:pStyle w:val="3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D00DE">
        <w:rPr>
          <w:rFonts w:ascii="Arial" w:hAnsi="Arial" w:cs="Arial"/>
          <w:color w:val="auto"/>
          <w:sz w:val="24"/>
          <w:szCs w:val="24"/>
        </w:rPr>
        <w:t>    Статья 1.1. Отнесение серой вороны к охотничьим ресурсам на территории Ульяновской области</w:t>
      </w:r>
    </w:p>
    <w:p w14:paraId="36653FEC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552243D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К охотничьим ресурсам на территории Ульяновской области наряду с птицами, указанными в пункте 2 части 1 статьи 11 Федерального закона "Об охоте и о сохранении охотничьих ресурсов и о внесении изменений в отдельные законодательные акты Российской Федерации", относится серая ворона.</w:t>
      </w:r>
      <w:r w:rsidRPr="001D00DE">
        <w:rPr>
          <w:rFonts w:ascii="Arial" w:hAnsi="Arial" w:cs="Arial"/>
        </w:rPr>
        <w:br/>
      </w:r>
    </w:p>
    <w:p w14:paraId="1B451A65" w14:textId="77777777" w:rsidR="001D00DE" w:rsidRPr="001D00DE" w:rsidRDefault="001D00DE" w:rsidP="001D00DE">
      <w:pPr>
        <w:pStyle w:val="3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D00DE">
        <w:rPr>
          <w:rFonts w:ascii="Arial" w:hAnsi="Arial" w:cs="Arial"/>
          <w:color w:val="auto"/>
          <w:sz w:val="24"/>
          <w:szCs w:val="24"/>
        </w:rPr>
        <w:t>    Статья 2. Перечень охотничьих ресурсов, в отношении которых допускается осуществление промысловой охоты</w:t>
      </w:r>
    </w:p>
    <w:p w14:paraId="45124D30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Промысловая охота на территории Ульяновской области осуществляется в отношении следующих охотничьих ресурсов:     </w:t>
      </w:r>
    </w:p>
    <w:p w14:paraId="6A2802A0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1) копытные животные - кабан, косули, лось;     </w:t>
      </w:r>
    </w:p>
    <w:p w14:paraId="1BF9AC50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2) пушные животные - волк, лисица, корсак, енотовидная собака, рысь, барсук, куницы, дикие кошки, ласка, горностай, хори, норки (за исключением норки европейской), зайцы, бобры, сурок-байбак, суслики (за исключением суслика крапчатого), белки, хомяк обыкновенный, ондатра, водяная полевка.     </w:t>
      </w:r>
      <w:r w:rsidRPr="001D00DE">
        <w:rPr>
          <w:rFonts w:ascii="Arial" w:hAnsi="Arial" w:cs="Arial"/>
        </w:rPr>
        <w:br/>
      </w:r>
    </w:p>
    <w:p w14:paraId="54543A06" w14:textId="77777777" w:rsidR="001D00DE" w:rsidRPr="001D00DE" w:rsidRDefault="001D00DE" w:rsidP="001D00DE">
      <w:pPr>
        <w:pStyle w:val="3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D00DE">
        <w:rPr>
          <w:rFonts w:ascii="Arial" w:hAnsi="Arial" w:cs="Arial"/>
          <w:color w:val="auto"/>
          <w:sz w:val="24"/>
          <w:szCs w:val="24"/>
        </w:rPr>
        <w:lastRenderedPageBreak/>
        <w:t>     Статья 3. Ограничения охоты</w:t>
      </w:r>
    </w:p>
    <w:p w14:paraId="3E42E487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745DB8C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Утратила силу. - Закон Ульяновской области от 30.07.2021 N 76-ЗО.</w:t>
      </w:r>
    </w:p>
    <w:p w14:paraId="3E044ECB" w14:textId="77777777" w:rsidR="001D00DE" w:rsidRPr="001D00DE" w:rsidRDefault="001D00DE" w:rsidP="001D00DE">
      <w:pPr>
        <w:pStyle w:val="3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D00DE">
        <w:rPr>
          <w:rFonts w:ascii="Arial" w:hAnsi="Arial" w:cs="Arial"/>
          <w:color w:val="auto"/>
          <w:sz w:val="24"/>
          <w:szCs w:val="24"/>
        </w:rPr>
        <w:t>     Статья 4. Нормы в области охоты и сохранения охотничьих ресурсов</w:t>
      </w:r>
    </w:p>
    <w:p w14:paraId="464F9FC8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7B193EB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Нормы допустимой добычи охотничьих ресурсов, в отношении которых не устанавливается лимит добычи, и нормы пропускной способности охотничьих угодий разрабатываются и утверждаются исполнительным органом государственной власти Ульяновской области, уполномоченным в сфере охоты и сохранения охотничьих ресурсов (далее - уполномоченный орган).</w:t>
      </w:r>
      <w:r w:rsidRPr="001D00DE">
        <w:rPr>
          <w:rFonts w:ascii="Arial" w:hAnsi="Arial" w:cs="Arial"/>
        </w:rPr>
        <w:br/>
      </w:r>
    </w:p>
    <w:p w14:paraId="72849D86" w14:textId="77777777" w:rsidR="001D00DE" w:rsidRPr="001D00DE" w:rsidRDefault="001D00DE" w:rsidP="001D00DE">
      <w:pPr>
        <w:pStyle w:val="3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D00DE">
        <w:rPr>
          <w:rFonts w:ascii="Arial" w:hAnsi="Arial" w:cs="Arial"/>
          <w:color w:val="auto"/>
          <w:sz w:val="24"/>
          <w:szCs w:val="24"/>
        </w:rPr>
        <w:t>     Статья 5. Порядок распределения разрешений на добычу охотничьих ресурсов между физическими лицами, осуществляющими охоту в общедоступных охотничьих угодьях</w:t>
      </w:r>
    </w:p>
    <w:p w14:paraId="649C00F5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FDDAAC4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1. Разрешения на добычу охотничьих ресурсов в общедоступных охотничьих угодьях распределяются между охотниками в порядке, установленном настоящей статьей.</w:t>
      </w:r>
    </w:p>
    <w:p w14:paraId="05ED1366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2. Для получения разрешения на добычу охотничьих ресурсов в общедоступных охотничьих угодьях охотники обращаются с соответствующим заявлением в уполномоченный орган.</w:t>
      </w:r>
    </w:p>
    <w:p w14:paraId="730DDCA2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3. Для распределения разрешений на добычу разных видов охотничьих ресурсов в одном общедоступном охотничьем угодье, на добычу одного вида охотничьих ресурсов в разных общедоступных охотничьих угодьях, а равно на добычу одного вида охотничьих ресурсов в общедоступном охотничьем угодье, расположенном в нескольких муниципальных образованиях, подаются отдельные заявления.</w:t>
      </w:r>
    </w:p>
    <w:p w14:paraId="75D635F9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4. Разрешения на добычу копытных животных распределяются между охотниками, подавшими соответствующие заявления, исходя из квоты добычи копытных животных, посредством случайной выборки (далее - жеребьевка), если иное не предусмотрено частью 14 настоящей статьи.</w:t>
      </w:r>
    </w:p>
    <w:p w14:paraId="35E18CDD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5. Жеребьевка проводится создаваемой уполномоченным органом комиссией, которая не менее чем на одну четверть должна состоять из охотников, не претендующих на получение разрешения на добычу копытных животных в общедоступных охотничьих угодьях, и представителей общественности, не являющихся охотниками.</w:t>
      </w:r>
    </w:p>
    <w:p w14:paraId="28E5DA6B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6. Уполномоченный орган не позднее чем за две недели до дня начала подачи заявлений размещает на своем официальном сайте в информационно-телекоммуникационной сети "Интернет" (далее - сеть "Интернет") и публикует в официальном периодическом печатном издании информацию:</w:t>
      </w:r>
    </w:p>
    <w:p w14:paraId="14F91670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1) о сроках подачи заявлений;</w:t>
      </w:r>
    </w:p>
    <w:p w14:paraId="32DE78D1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2) о дате, времени и месте проведения жеребьевки;</w:t>
      </w:r>
    </w:p>
    <w:p w14:paraId="1BCDB143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3) о составе комиссии, проводящей жеребьевку.</w:t>
      </w:r>
    </w:p>
    <w:p w14:paraId="3D1607D2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7. Комиссия составляет списки претендентов на получение разрешения на добычу копытных животных по муниципальным образованиям и видам копытных животных согласно регистрационным номерам заявлений, являющимся одновременно номерами для проведения жеребьевки.</w:t>
      </w:r>
    </w:p>
    <w:p w14:paraId="1136CAC6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 xml:space="preserve">8. Жеребьевка проводится публично, отдельно по каждому виду копытных животных случайной выемкой номеров из лототрона, в который помещаются </w:t>
      </w:r>
      <w:r w:rsidRPr="001D00DE">
        <w:rPr>
          <w:rFonts w:ascii="Arial" w:hAnsi="Arial" w:cs="Arial"/>
        </w:rPr>
        <w:lastRenderedPageBreak/>
        <w:t>конверты (контейнеры) с номерами заявлений. До начала проведения жеребьевки комиссия осуществляет подготовку лототрона и осмотр каждого конверта (контейнера).</w:t>
      </w:r>
    </w:p>
    <w:p w14:paraId="7E0DCC57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Охотники, их представители, а также представители средств массовой информации вправе присутствовать при проведении жеребьевки.</w:t>
      </w:r>
    </w:p>
    <w:p w14:paraId="72653192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9. По результатам жеребьевки составляется протокол, который подписывается членами комиссии, участвующими в ее проведении. В протоколе указываются:</w:t>
      </w:r>
    </w:p>
    <w:p w14:paraId="2F2B9391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1) охотники, которые приобрели право на получение разрешения на добычу заявленных копытных животных в общедоступных охотничьих угодьях по муниципальным образованиям;</w:t>
      </w:r>
    </w:p>
    <w:p w14:paraId="35C90050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2) охотники, которые могут получить разрешение на добычу заявленных копытных животных в общедоступных охотничьих угодьях, в случае если право на получение разрешения на добычу копытных животных лицами, указанными в пункте 1 настоящей части, не реализовано, а также в случае увеличения квот добычи копытных животных;</w:t>
      </w:r>
    </w:p>
    <w:p w14:paraId="7B1DC058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3) общедоступные охотничьи угодья, в отношении которых жеребьевка не проводилась в связи с отсутствием квот добычи копытных животных.</w:t>
      </w:r>
    </w:p>
    <w:p w14:paraId="3F68F484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10. Уполномоченный орган в течение десяти рабочих дней после проведения жеребьевки письменно уведомляет о результатах жеребьевки охотников, которые приобрели право на получение разрешения на добычу копытных животных, а также размещает указанную информацию на своем официальном сайте в сети "Интернет" и публикует ее в официальном периодическом печатном издании.</w:t>
      </w:r>
    </w:p>
    <w:p w14:paraId="3879523B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11. В случае, если право на получение разрешения на добычу копытных животных не реализовано, уполномоченный орган в течение двух недель со дня окончания срока, предусмотренного частью 13 настоящей статьи, письменно уведомляет охотников, указанных в пункте 2 части 9 настоящей статьи, в порядке очередности, установленной при проведении жеребьевки, о возникновении у них права на получение разрешения на добычу копытных животных.</w:t>
      </w:r>
    </w:p>
    <w:p w14:paraId="215478F4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12. При увеличении в установленном порядке в течение сезона охоты квот добычи копытных животных в общедоступных охотничьих угодьях разрешения на добычу копытных животных предоставляются лицам, указанным в пункте 2 части 9 настоящей статьи, в порядке очередности, установленной при проведении жеребьевки, о чем указанные лица письменно уведомляются уполномоченным органом в течение двух недель со дня вступления в силу соответствующего решения об увеличении квот добычи копытных животных.</w:t>
      </w:r>
    </w:p>
    <w:p w14:paraId="40B0E21C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13. Право на получение разрешения на добычу копытных животных может быть реализовано охотником путем обращения в уполномоченный орган в течение тридцати календарных дней со дня получения письменного уведомления.</w:t>
      </w:r>
    </w:p>
    <w:p w14:paraId="5CDF3239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14. В случае, если количество поданных охотниками заявлений не превышает установленную квоту добычи копытных животных в общедоступных охотничьих угодьях на территории соответствующего муниципального образования, жеребьевка не проводится, а разрешения на добычу копытных животных распределяются между охотниками, подавшими заявления.</w:t>
      </w:r>
    </w:p>
    <w:p w14:paraId="79969DAE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15. Разрешения на добычу охотничьих ресурсов, за исключением копытных животных, распределяются между охотниками в порядке очередности их обращений в уполномоченный орган для получения разрешений на добычу охотничьих ресурсов с учетом норм пропускной способности охотничьих угодий, квот и норм допустимой добычи охотничьих ресурсов, а также нормативов их допустимого изъятия.</w:t>
      </w:r>
    </w:p>
    <w:p w14:paraId="222C0869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 xml:space="preserve">16. Выдача разрешений на добычу охотничьих ресурсов в общедоступных охотничьих угодьях осуществляется уполномоченным органом в порядке, </w:t>
      </w:r>
      <w:r w:rsidRPr="001D00DE">
        <w:rPr>
          <w:rFonts w:ascii="Arial" w:hAnsi="Arial" w:cs="Arial"/>
        </w:rPr>
        <w:lastRenderedPageBreak/>
        <w:t>установленном законодательством Российской Федерации.</w:t>
      </w:r>
      <w:r w:rsidRPr="001D00DE">
        <w:rPr>
          <w:rFonts w:ascii="Arial" w:hAnsi="Arial" w:cs="Arial"/>
        </w:rPr>
        <w:br/>
      </w:r>
    </w:p>
    <w:p w14:paraId="0E4B62B7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Губернатор</w:t>
      </w:r>
      <w:r w:rsidRPr="001D00DE">
        <w:rPr>
          <w:rFonts w:ascii="Arial" w:hAnsi="Arial" w:cs="Arial"/>
        </w:rPr>
        <w:br/>
        <w:t>Ульяновской области</w:t>
      </w:r>
      <w:r w:rsidRPr="001D00DE">
        <w:rPr>
          <w:rFonts w:ascii="Arial" w:hAnsi="Arial" w:cs="Arial"/>
        </w:rPr>
        <w:br/>
        <w:t>С.И.МОРОЗОВ</w:t>
      </w:r>
    </w:p>
    <w:p w14:paraId="7D16AD4A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Ульяновск</w:t>
      </w:r>
      <w:r w:rsidRPr="001D00DE">
        <w:rPr>
          <w:rFonts w:ascii="Arial" w:hAnsi="Arial" w:cs="Arial"/>
        </w:rPr>
        <w:br/>
        <w:t>20 декабря 2010 года</w:t>
      </w:r>
      <w:r w:rsidRPr="001D00DE">
        <w:rPr>
          <w:rFonts w:ascii="Arial" w:hAnsi="Arial" w:cs="Arial"/>
        </w:rPr>
        <w:br/>
        <w:t>N 227-ЗО</w:t>
      </w:r>
    </w:p>
    <w:p w14:paraId="6A02F388" w14:textId="77777777" w:rsidR="001D00DE" w:rsidRPr="001D00DE" w:rsidRDefault="001D00DE" w:rsidP="001D00D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D00DE">
        <w:rPr>
          <w:rFonts w:ascii="Arial" w:hAnsi="Arial" w:cs="Arial"/>
        </w:rPr>
        <w:t>     </w:t>
      </w:r>
    </w:p>
    <w:p w14:paraId="0E4587CB" w14:textId="77777777" w:rsidR="001D00DE" w:rsidRPr="001D00DE" w:rsidRDefault="001D00DE" w:rsidP="001D00DE"/>
    <w:p w14:paraId="64EF8A12" w14:textId="77777777" w:rsidR="00C22ED3" w:rsidRPr="001D00DE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D00D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D00D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D00D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D00D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D00DE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1D0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1D0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