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12D1B" w:rsidRPr="00312D1B" w:rsidRDefault="00312D1B" w:rsidP="00312D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D1B">
        <w:rPr>
          <w:rFonts w:ascii="Times New Roman" w:hAnsi="Times New Roman" w:cs="Times New Roman"/>
          <w:b/>
          <w:sz w:val="24"/>
          <w:szCs w:val="24"/>
        </w:rPr>
        <w:t>ОБ УТВЕРЖДЕНИИ ПЕРЕЧНЯ НАСЕЛЕННЫХ ПУНКТОВ РЕСПУБЛИКИ БУРЯТИЯ, ДЛЯ ТЕРРИТОРИЙ КОТОРЫХ РАЗРАБАТЫВАЮТСЯ СИСТЕМЫ СВОДНЫХ РАСЧЕТОВ ЗАГРЯЗНЕНИЯ АТМОСФЕРЫ</w:t>
      </w: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от 6 сентября 2017 года N 451</w:t>
      </w: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г. Улан-Удэ</w:t>
      </w: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ОБ УТВЕРЖДЕНИИ ПЕРЕЧНЯ НАСЕЛЕННЫХ ПУНКТОВ РЕСПУБЛИКИ БУРЯТИЯ, ДЛЯ ТЕРРИТОРИЙ КОТОРЫХ РАЗРАБАТЫВАЮТСЯ СИСТЕМЫ СВОДНЫХ РАСЧЕТОВ ЗАГРЯЗНЕНИЯ АТМОСФЕРЫ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В соответствии со статьей 5 Закона Республики Бурятия от 05.05.2011 N 1993-IV "Об охране атмосферного воздуха" Правительство Республики Бурятия постановляет: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1. Утвердить прилагаемый Перечень населенных пунктов Республики Бурятия, для территорий которых разрабатываются системы сводных расчетов загрязнения атмосферы.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 1 января 2019 года.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12D1B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312D1B">
        <w:rPr>
          <w:rFonts w:ascii="Times New Roman" w:hAnsi="Times New Roman" w:cs="Times New Roman"/>
          <w:sz w:val="24"/>
          <w:szCs w:val="24"/>
        </w:rPr>
        <w:t xml:space="preserve"> обязанности Председателя</w:t>
      </w:r>
    </w:p>
    <w:p w:rsidR="00312D1B" w:rsidRP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Правительства Республики Бурятия</w:t>
      </w:r>
    </w:p>
    <w:p w:rsid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И.ЕГОРОВ</w:t>
      </w:r>
    </w:p>
    <w:p w:rsid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lastRenderedPageBreak/>
        <w:t>ПЕРЕЧЕНЬ НАСЕЛЕННЫХ ПУНКТОВ РЕСПУБЛИКИ БУРЯТИЯ, ДЛЯ ТЕРРИТОРИЙ КОТОРЫХ РАЗРАБАТЫВАЮТСЯ СИСТЕМЫ СВОДНЫХ РАСЧЕТОВ ЗАГРЯЗНЕНИЯ АТМОСФЕРЫ</w:t>
      </w:r>
    </w:p>
    <w:p w:rsidR="00312D1B" w:rsidRPr="00312D1B" w:rsidRDefault="00312D1B" w:rsidP="00312D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Утвержден</w:t>
      </w:r>
    </w:p>
    <w:p w:rsidR="00312D1B" w:rsidRP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312D1B" w:rsidRP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312D1B" w:rsidRPr="00312D1B" w:rsidRDefault="00312D1B" w:rsidP="00312D1B">
      <w:pPr>
        <w:jc w:val="right"/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от 06.09.2017 N 451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1. Г. Улан-Удэ.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 xml:space="preserve">2. П. </w:t>
      </w:r>
      <w:proofErr w:type="spellStart"/>
      <w:r w:rsidRPr="00312D1B">
        <w:rPr>
          <w:rFonts w:ascii="Times New Roman" w:hAnsi="Times New Roman" w:cs="Times New Roman"/>
          <w:sz w:val="24"/>
          <w:szCs w:val="24"/>
        </w:rPr>
        <w:t>Селенгинск</w:t>
      </w:r>
      <w:proofErr w:type="spellEnd"/>
      <w:r w:rsidRPr="00312D1B">
        <w:rPr>
          <w:rFonts w:ascii="Times New Roman" w:hAnsi="Times New Roman" w:cs="Times New Roman"/>
          <w:sz w:val="24"/>
          <w:szCs w:val="24"/>
        </w:rPr>
        <w:t>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3. П. Каменск.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4. Г. Гусиноозерск.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 xml:space="preserve">5. Г. </w:t>
      </w:r>
      <w:proofErr w:type="spellStart"/>
      <w:r w:rsidRPr="00312D1B">
        <w:rPr>
          <w:rFonts w:ascii="Times New Roman" w:hAnsi="Times New Roman" w:cs="Times New Roman"/>
          <w:sz w:val="24"/>
          <w:szCs w:val="24"/>
        </w:rPr>
        <w:t>Северобайкальск</w:t>
      </w:r>
      <w:proofErr w:type="spellEnd"/>
      <w:r w:rsidRPr="00312D1B">
        <w:rPr>
          <w:rFonts w:ascii="Times New Roman" w:hAnsi="Times New Roman" w:cs="Times New Roman"/>
          <w:sz w:val="24"/>
          <w:szCs w:val="24"/>
        </w:rPr>
        <w:t>.</w:t>
      </w:r>
    </w:p>
    <w:p w:rsidR="00312D1B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</w:p>
    <w:p w:rsidR="0099778E" w:rsidRPr="00312D1B" w:rsidRDefault="00312D1B" w:rsidP="00312D1B">
      <w:pPr>
        <w:rPr>
          <w:rFonts w:ascii="Times New Roman" w:hAnsi="Times New Roman" w:cs="Times New Roman"/>
          <w:sz w:val="24"/>
          <w:szCs w:val="24"/>
        </w:rPr>
      </w:pPr>
      <w:r w:rsidRPr="00312D1B">
        <w:rPr>
          <w:rFonts w:ascii="Times New Roman" w:hAnsi="Times New Roman" w:cs="Times New Roman"/>
          <w:sz w:val="24"/>
          <w:szCs w:val="24"/>
        </w:rPr>
        <w:t>6. Г. Кяхта.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db66bf42c0b4a1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