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5370512C" w14:textId="77777777" w:rsidR="00B841B9" w:rsidRPr="00B841B9" w:rsidRDefault="00B841B9" w:rsidP="00B841B9">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B841B9">
        <w:rPr>
          <w:rFonts w:ascii="Arial" w:eastAsia="Times New Roman" w:hAnsi="Arial" w:cs="Arial"/>
          <w:b/>
          <w:bCs/>
          <w:sz w:val="24"/>
          <w:szCs w:val="24"/>
          <w:lang w:eastAsia="ru-RU"/>
        </w:rPr>
        <w:br/>
        <w:t>МИНИСТЕРСТВО ПРОМЫШЛЕННОСТИ, НОВЫХ ТЕХНОЛОГИЙ И ПРИРОДНЫХ РЕСУРСОВ ЧЕЛЯБИНСКОЙ ОБЛАСТИ</w:t>
      </w: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ПРИКАЗ</w:t>
      </w: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от 20 сентября 2019 года N 34</w:t>
      </w: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Об утверждении Порядка определения среднегодовой мощности добывающей организации (среднегодовой добычи полезного ископаемого) для расчета минимального (стартового) размера разового платежа за пользование недрами при подготовке условий проведения аукционов на предоставление права пользования участками недр местного значения, содержащими месторождение общераспространенных полезных ископаемых, расположенных на территории Челябинской области</w:t>
      </w:r>
    </w:p>
    <w:p w14:paraId="16E6F4B5"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br/>
      </w:r>
    </w:p>
    <w:p w14:paraId="35467090"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В целях упорядочения подготовки и проведения аукционов на предоставление права пользования участками недр местного значения, включенными в перечень участков недр местного значения, для разведки и добычи общераспространенных полезных ископаемых или для геологического изучения, разведки и добычи общераспространенных полезных ископаемых, расположенных на территории Челябинской области, в соответствии с Законом Российской Федерации от 21.02.1992 N 2395-1 "О недрах", приказом Министерства природных ресурсов и экологии Российской Федерации от 30.09.2008 N 232 "Об утверждении Методики по определению стартового размера разового платежа за пользование недрами", Законом Челябинской области от 29.03.2012 N 294-ЗО "О пользовании недрами на территории Челябинской области", постановлением Губернатора Челябинской области от 08.08.2019 N 296 "Об утверждении Положения, структуры и штатной численности Министерства промышленности, новых технологий и природных ресурсов Челябинской области"</w:t>
      </w:r>
      <w:r w:rsidRPr="00B841B9">
        <w:rPr>
          <w:rFonts w:ascii="Arial" w:eastAsia="Times New Roman" w:hAnsi="Arial" w:cs="Arial"/>
          <w:sz w:val="24"/>
          <w:szCs w:val="24"/>
          <w:lang w:eastAsia="ru-RU"/>
        </w:rPr>
        <w:br/>
      </w:r>
    </w:p>
    <w:p w14:paraId="6A590F9D"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75B8E8ED"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ПРИКАЗЫВАЮ:</w:t>
      </w:r>
      <w:r w:rsidRPr="00B841B9">
        <w:rPr>
          <w:rFonts w:ascii="Arial" w:eastAsia="Times New Roman" w:hAnsi="Arial" w:cs="Arial"/>
          <w:sz w:val="24"/>
          <w:szCs w:val="24"/>
          <w:lang w:eastAsia="ru-RU"/>
        </w:rPr>
        <w:br/>
      </w:r>
    </w:p>
    <w:p w14:paraId="51CCC5B5"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37C9831A"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1. Утвердить Порядок определения среднегодовой мощности добывающей организации (среднегодовой добычи полезного ископаемого) для расчета минимального (стартового) размера разового платежа за пользование недрами при подготовке условий проведения аукционов на предоставление права пользования участками недр местного значения, содержащими месторождение общераспространенных полезных ископаемых, расположенных на территории Челябинской области (приложение).</w:t>
      </w:r>
      <w:r w:rsidRPr="00B841B9">
        <w:rPr>
          <w:rFonts w:ascii="Arial" w:eastAsia="Times New Roman" w:hAnsi="Arial" w:cs="Arial"/>
          <w:sz w:val="24"/>
          <w:szCs w:val="24"/>
          <w:lang w:eastAsia="ru-RU"/>
        </w:rPr>
        <w:br/>
      </w:r>
    </w:p>
    <w:p w14:paraId="48B747D3"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3A4B3927"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2. Настоящий приказ подлежит официальному опубликованию.</w:t>
      </w:r>
      <w:r w:rsidRPr="00B841B9">
        <w:rPr>
          <w:rFonts w:ascii="Arial" w:eastAsia="Times New Roman" w:hAnsi="Arial" w:cs="Arial"/>
          <w:sz w:val="24"/>
          <w:szCs w:val="24"/>
          <w:lang w:eastAsia="ru-RU"/>
        </w:rPr>
        <w:br/>
      </w:r>
    </w:p>
    <w:p w14:paraId="72DC5C4A"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0ACD7BE5"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3. Контроль за исполнением настоящего приказа оставляю за собой.</w:t>
      </w:r>
      <w:r w:rsidRPr="00B841B9">
        <w:rPr>
          <w:rFonts w:ascii="Arial" w:eastAsia="Times New Roman" w:hAnsi="Arial" w:cs="Arial"/>
          <w:sz w:val="24"/>
          <w:szCs w:val="24"/>
          <w:lang w:eastAsia="ru-RU"/>
        </w:rPr>
        <w:br/>
      </w:r>
    </w:p>
    <w:p w14:paraId="0816C128" w14:textId="77777777" w:rsidR="00B841B9" w:rsidRPr="00B841B9" w:rsidRDefault="00B841B9" w:rsidP="00B841B9">
      <w:pPr>
        <w:shd w:val="clear" w:color="auto" w:fill="FFFFFF"/>
        <w:spacing w:after="0" w:line="240" w:lineRule="auto"/>
        <w:jc w:val="right"/>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lastRenderedPageBreak/>
        <w:br/>
      </w:r>
      <w:r w:rsidRPr="00B841B9">
        <w:rPr>
          <w:rFonts w:ascii="Arial" w:eastAsia="Times New Roman" w:hAnsi="Arial" w:cs="Arial"/>
          <w:sz w:val="24"/>
          <w:szCs w:val="24"/>
          <w:lang w:eastAsia="ru-RU"/>
        </w:rPr>
        <w:br/>
        <w:t>Исполняющий обязанности</w:t>
      </w:r>
      <w:r w:rsidRPr="00B841B9">
        <w:rPr>
          <w:rFonts w:ascii="Arial" w:eastAsia="Times New Roman" w:hAnsi="Arial" w:cs="Arial"/>
          <w:sz w:val="24"/>
          <w:szCs w:val="24"/>
          <w:lang w:eastAsia="ru-RU"/>
        </w:rPr>
        <w:br/>
        <w:t>Министра промышленности,</w:t>
      </w:r>
      <w:r w:rsidRPr="00B841B9">
        <w:rPr>
          <w:rFonts w:ascii="Arial" w:eastAsia="Times New Roman" w:hAnsi="Arial" w:cs="Arial"/>
          <w:sz w:val="24"/>
          <w:szCs w:val="24"/>
          <w:lang w:eastAsia="ru-RU"/>
        </w:rPr>
        <w:br/>
        <w:t>новых технологий</w:t>
      </w:r>
      <w:r w:rsidRPr="00B841B9">
        <w:rPr>
          <w:rFonts w:ascii="Arial" w:eastAsia="Times New Roman" w:hAnsi="Arial" w:cs="Arial"/>
          <w:sz w:val="24"/>
          <w:szCs w:val="24"/>
          <w:lang w:eastAsia="ru-RU"/>
        </w:rPr>
        <w:br/>
        <w:t>и природных ресурсов</w:t>
      </w:r>
      <w:r w:rsidRPr="00B841B9">
        <w:rPr>
          <w:rFonts w:ascii="Arial" w:eastAsia="Times New Roman" w:hAnsi="Arial" w:cs="Arial"/>
          <w:sz w:val="24"/>
          <w:szCs w:val="24"/>
          <w:lang w:eastAsia="ru-RU"/>
        </w:rPr>
        <w:br/>
        <w:t>Челябинской области</w:t>
      </w:r>
      <w:r w:rsidRPr="00B841B9">
        <w:rPr>
          <w:rFonts w:ascii="Arial" w:eastAsia="Times New Roman" w:hAnsi="Arial" w:cs="Arial"/>
          <w:sz w:val="24"/>
          <w:szCs w:val="24"/>
          <w:lang w:eastAsia="ru-RU"/>
        </w:rPr>
        <w:br/>
        <w:t>И.В.АКБАШЕВА</w:t>
      </w:r>
    </w:p>
    <w:p w14:paraId="6BFCE183" w14:textId="77777777" w:rsidR="00B841B9" w:rsidRPr="00B841B9" w:rsidRDefault="00B841B9" w:rsidP="00B841B9">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Приложение</w:t>
      </w:r>
    </w:p>
    <w:p w14:paraId="5F645174" w14:textId="77777777" w:rsidR="00B841B9" w:rsidRPr="00B841B9" w:rsidRDefault="00B841B9" w:rsidP="00B841B9">
      <w:pPr>
        <w:shd w:val="clear" w:color="auto" w:fill="FFFFFF"/>
        <w:spacing w:after="0" w:line="240" w:lineRule="auto"/>
        <w:jc w:val="right"/>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br/>
      </w:r>
      <w:r w:rsidRPr="00B841B9">
        <w:rPr>
          <w:rFonts w:ascii="Arial" w:eastAsia="Times New Roman" w:hAnsi="Arial" w:cs="Arial"/>
          <w:sz w:val="24"/>
          <w:szCs w:val="24"/>
          <w:lang w:eastAsia="ru-RU"/>
        </w:rPr>
        <w:br/>
        <w:t>Утвержден</w:t>
      </w:r>
      <w:r w:rsidRPr="00B841B9">
        <w:rPr>
          <w:rFonts w:ascii="Arial" w:eastAsia="Times New Roman" w:hAnsi="Arial" w:cs="Arial"/>
          <w:sz w:val="24"/>
          <w:szCs w:val="24"/>
          <w:lang w:eastAsia="ru-RU"/>
        </w:rPr>
        <w:br/>
        <w:t>приказом</w:t>
      </w:r>
      <w:r w:rsidRPr="00B841B9">
        <w:rPr>
          <w:rFonts w:ascii="Arial" w:eastAsia="Times New Roman" w:hAnsi="Arial" w:cs="Arial"/>
          <w:sz w:val="24"/>
          <w:szCs w:val="24"/>
          <w:lang w:eastAsia="ru-RU"/>
        </w:rPr>
        <w:br/>
        <w:t>Министерства промышленности,</w:t>
      </w:r>
      <w:r w:rsidRPr="00B841B9">
        <w:rPr>
          <w:rFonts w:ascii="Arial" w:eastAsia="Times New Roman" w:hAnsi="Arial" w:cs="Arial"/>
          <w:sz w:val="24"/>
          <w:szCs w:val="24"/>
          <w:lang w:eastAsia="ru-RU"/>
        </w:rPr>
        <w:br/>
        <w:t>новых технологий</w:t>
      </w:r>
      <w:r w:rsidRPr="00B841B9">
        <w:rPr>
          <w:rFonts w:ascii="Arial" w:eastAsia="Times New Roman" w:hAnsi="Arial" w:cs="Arial"/>
          <w:sz w:val="24"/>
          <w:szCs w:val="24"/>
          <w:lang w:eastAsia="ru-RU"/>
        </w:rPr>
        <w:br/>
        <w:t>и природных ресурсов</w:t>
      </w:r>
      <w:r w:rsidRPr="00B841B9">
        <w:rPr>
          <w:rFonts w:ascii="Arial" w:eastAsia="Times New Roman" w:hAnsi="Arial" w:cs="Arial"/>
          <w:sz w:val="24"/>
          <w:szCs w:val="24"/>
          <w:lang w:eastAsia="ru-RU"/>
        </w:rPr>
        <w:br/>
        <w:t>Челябинской области</w:t>
      </w:r>
      <w:r w:rsidRPr="00B841B9">
        <w:rPr>
          <w:rFonts w:ascii="Arial" w:eastAsia="Times New Roman" w:hAnsi="Arial" w:cs="Arial"/>
          <w:sz w:val="24"/>
          <w:szCs w:val="24"/>
          <w:lang w:eastAsia="ru-RU"/>
        </w:rPr>
        <w:br/>
        <w:t>от 20 сентября 2019 г. N 34</w:t>
      </w:r>
    </w:p>
    <w:p w14:paraId="2695BA84" w14:textId="77777777" w:rsidR="00B841B9" w:rsidRPr="00B841B9" w:rsidRDefault="00B841B9" w:rsidP="00B841B9">
      <w:pPr>
        <w:shd w:val="clear" w:color="auto" w:fill="FFFFFF"/>
        <w:spacing w:after="240" w:line="240" w:lineRule="auto"/>
        <w:jc w:val="center"/>
        <w:textAlignment w:val="baseline"/>
        <w:rPr>
          <w:rFonts w:ascii="Arial" w:eastAsia="Times New Roman" w:hAnsi="Arial" w:cs="Arial"/>
          <w:b/>
          <w:bCs/>
          <w:sz w:val="24"/>
          <w:szCs w:val="24"/>
          <w:lang w:eastAsia="ru-RU"/>
        </w:rPr>
      </w:pP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Порядок определения среднегодовой мощности добывающей организации (среднегодовой добычи полезного ископаемого) для расчета минимального (стартового) размера разового платежа за пользование недрами при подготовке условий проведения аукционов на предоставление права пользования участками недр местного значения, содержащими месторождение общераспространенных полезных ископаемых, расположенных на территории Челябинской области</w:t>
      </w:r>
    </w:p>
    <w:p w14:paraId="59211898"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65B9535C"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1. Настоящий Порядок определения среднегодовой мощности добывающей организации (среднегодовой добычи полезного ископаемого) для расчета минимального (стартового) размера разового платежа за пользование недрами при подготовке условий проведения аукционов на предоставление права пользования участками недр местного значения, содержащими месторождение общераспространенных полезных ископаемых, расположенных на территории Челябинской области, разработан в соответствии с Законом Российской Федерации от 21.02.1992 N 2395-1 "О недрах", приказом Министерства природных ресурсов и экологии Российской Федерации от 30.09.2008 N 232 "Об утверждении Методики по определению стартового размера разового платежа за пользование недрами", Законом Челябинской области от 29.03.2012 N 294-ЗО "О пользовании недрами на территории Челябинской области", постановлением Губернатора Челябинской области от 08.08.2019 N 296 "Об утверждении Положения, структуры и штатной численности Министерства промышленности, новых технологий и природных ресурсов Челябинской области".</w:t>
      </w:r>
      <w:r w:rsidRPr="00B841B9">
        <w:rPr>
          <w:rFonts w:ascii="Arial" w:eastAsia="Times New Roman" w:hAnsi="Arial" w:cs="Arial"/>
          <w:sz w:val="24"/>
          <w:szCs w:val="24"/>
          <w:lang w:eastAsia="ru-RU"/>
        </w:rPr>
        <w:br/>
      </w:r>
    </w:p>
    <w:p w14:paraId="11BFEFF4"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0B651CF7"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 xml:space="preserve">2. Среднегодовая мощность добывающей организации (среднегодовая добыча полезного ископаемого) для расчета минимального (стартового) размера разового платежа за пользование недрами при подготовке условий проведения аукционов на предоставление права пользования участками недр местного </w:t>
      </w:r>
      <w:r w:rsidRPr="00B841B9">
        <w:rPr>
          <w:rFonts w:ascii="Arial" w:eastAsia="Times New Roman" w:hAnsi="Arial" w:cs="Arial"/>
          <w:sz w:val="24"/>
          <w:szCs w:val="24"/>
          <w:lang w:eastAsia="ru-RU"/>
        </w:rPr>
        <w:lastRenderedPageBreak/>
        <w:t>значения, содержащими месторождение общераспространенных полезных ископаемых, расположенных на территории Челябинской области, определяется:</w:t>
      </w:r>
      <w:r w:rsidRPr="00B841B9">
        <w:rPr>
          <w:rFonts w:ascii="Arial" w:eastAsia="Times New Roman" w:hAnsi="Arial" w:cs="Arial"/>
          <w:sz w:val="24"/>
          <w:szCs w:val="24"/>
          <w:lang w:eastAsia="ru-RU"/>
        </w:rPr>
        <w:br/>
      </w:r>
    </w:p>
    <w:p w14:paraId="4114E17C"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591B1CE6"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1) для участков недр с учтенными государственным и (или) территориальным балансом запасами полезных ископаемых:</w:t>
      </w:r>
      <w:r w:rsidRPr="00B841B9">
        <w:rPr>
          <w:rFonts w:ascii="Arial" w:eastAsia="Times New Roman" w:hAnsi="Arial" w:cs="Arial"/>
          <w:sz w:val="24"/>
          <w:szCs w:val="24"/>
          <w:lang w:eastAsia="ru-RU"/>
        </w:rPr>
        <w:br/>
      </w:r>
    </w:p>
    <w:p w14:paraId="00308F02"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61EADEF8"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 по материалам технико-экономических обоснований кондиций для подсчета запасов полезных ископаемых, прошедших государственную экспертизу и утвержденных в установленном порядке (если прошли государственную экспертизу и утверждены в установленном порядке кондиции для подсчета запасов общераспространенных полезных ископаемых и запасы общераспространенных полезных ископаемых);</w:t>
      </w:r>
      <w:r w:rsidRPr="00B841B9">
        <w:rPr>
          <w:rFonts w:ascii="Arial" w:eastAsia="Times New Roman" w:hAnsi="Arial" w:cs="Arial"/>
          <w:sz w:val="24"/>
          <w:szCs w:val="24"/>
          <w:lang w:eastAsia="ru-RU"/>
        </w:rPr>
        <w:br/>
      </w:r>
    </w:p>
    <w:p w14:paraId="0A78C67C"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5663449C"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 по технико-экономическим показателям (расчетам, оценке) разработки месторождения, показывающим рентабельность разработки и указанным в материалах подсчета запасов, но не прошедшим государственную экспертизу и не утвержденным в установленном порядке (если прошли государственную экспертизу и утверждены в установленном порядке только запасы общераспространенных полезных ископаемых);</w:t>
      </w:r>
      <w:r w:rsidRPr="00B841B9">
        <w:rPr>
          <w:rFonts w:ascii="Arial" w:eastAsia="Times New Roman" w:hAnsi="Arial" w:cs="Arial"/>
          <w:sz w:val="24"/>
          <w:szCs w:val="24"/>
          <w:lang w:eastAsia="ru-RU"/>
        </w:rPr>
        <w:br/>
      </w:r>
    </w:p>
    <w:p w14:paraId="394BEC0A"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30AB0D88"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2) для участков недр с прогнозными ресурсами полезных ископаемых и (или) с учтенными государственным и (или) территориальным балансом запасами полезных ископаемых, но не имеющих материалов технико-экономических обоснований кондиций и технико-экономических показателей (расчетов, оценок) разработки месторождений:</w:t>
      </w:r>
      <w:r w:rsidRPr="00B841B9">
        <w:rPr>
          <w:rFonts w:ascii="Arial" w:eastAsia="Times New Roman" w:hAnsi="Arial" w:cs="Arial"/>
          <w:sz w:val="24"/>
          <w:szCs w:val="24"/>
          <w:lang w:eastAsia="ru-RU"/>
        </w:rPr>
        <w:br/>
      </w:r>
    </w:p>
    <w:p w14:paraId="2D32E257"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1421E578"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 аналитически, на основании усредненных сведений об объеме добычи аналогичного вида полезного ископаемого (объекты-аналоги), представленных пользователями недр в Министерство промышленности, новых технологий и природных ресурсов Челябинской области по форме ежегодной статистической отчетности N 5-гр, утвержденной постановлением Госкомстата России от 13.11.2000 N 110 "Об утверждении статистического инструментария для организации МНР России статистического наблюдения за запасами полезных ископаемых, геологоразведочными работами и их финансированием, использованием воды и начисленными платежами за загрязнение окружающей среды", по формуле:</w:t>
      </w:r>
      <w:r w:rsidRPr="00B841B9">
        <w:rPr>
          <w:rFonts w:ascii="Arial" w:eastAsia="Times New Roman" w:hAnsi="Arial" w:cs="Arial"/>
          <w:sz w:val="24"/>
          <w:szCs w:val="24"/>
          <w:lang w:eastAsia="ru-RU"/>
        </w:rPr>
        <w:br/>
      </w:r>
    </w:p>
    <w:p w14:paraId="736CF978" w14:textId="77777777" w:rsidR="00B841B9" w:rsidRPr="00B841B9" w:rsidRDefault="00B841B9" w:rsidP="00B841B9">
      <w:pPr>
        <w:shd w:val="clear" w:color="auto" w:fill="FFFFFF"/>
        <w:spacing w:after="0" w:line="240" w:lineRule="auto"/>
        <w:jc w:val="center"/>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br/>
        <w:t xml:space="preserve">М = (Vгод1 + Vгод2 + </w:t>
      </w:r>
      <w:proofErr w:type="spellStart"/>
      <w:r w:rsidRPr="00B841B9">
        <w:rPr>
          <w:rFonts w:ascii="Arial" w:eastAsia="Times New Roman" w:hAnsi="Arial" w:cs="Arial"/>
          <w:sz w:val="24"/>
          <w:szCs w:val="24"/>
          <w:lang w:eastAsia="ru-RU"/>
        </w:rPr>
        <w:t>Vгодn</w:t>
      </w:r>
      <w:proofErr w:type="spellEnd"/>
      <w:r w:rsidRPr="00B841B9">
        <w:rPr>
          <w:rFonts w:ascii="Arial" w:eastAsia="Times New Roman" w:hAnsi="Arial" w:cs="Arial"/>
          <w:sz w:val="24"/>
          <w:szCs w:val="24"/>
          <w:lang w:eastAsia="ru-RU"/>
        </w:rPr>
        <w:t xml:space="preserve">) / </w:t>
      </w:r>
      <w:proofErr w:type="spellStart"/>
      <w:r w:rsidRPr="00B841B9">
        <w:rPr>
          <w:rFonts w:ascii="Arial" w:eastAsia="Times New Roman" w:hAnsi="Arial" w:cs="Arial"/>
          <w:sz w:val="24"/>
          <w:szCs w:val="24"/>
          <w:lang w:eastAsia="ru-RU"/>
        </w:rPr>
        <w:t>Кn</w:t>
      </w:r>
      <w:proofErr w:type="spellEnd"/>
      <w:r w:rsidRPr="00B841B9">
        <w:rPr>
          <w:rFonts w:ascii="Arial" w:eastAsia="Times New Roman" w:hAnsi="Arial" w:cs="Arial"/>
          <w:sz w:val="24"/>
          <w:szCs w:val="24"/>
          <w:lang w:eastAsia="ru-RU"/>
        </w:rPr>
        <w:t>,</w:t>
      </w:r>
    </w:p>
    <w:p w14:paraId="36AB585F"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br/>
      </w:r>
    </w:p>
    <w:p w14:paraId="6669FE04"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где:</w:t>
      </w:r>
      <w:r w:rsidRPr="00B841B9">
        <w:rPr>
          <w:rFonts w:ascii="Arial" w:eastAsia="Times New Roman" w:hAnsi="Arial" w:cs="Arial"/>
          <w:sz w:val="24"/>
          <w:szCs w:val="24"/>
          <w:lang w:eastAsia="ru-RU"/>
        </w:rPr>
        <w:br/>
      </w:r>
    </w:p>
    <w:p w14:paraId="0B42C090"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1AE21760"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М - среднегодовая мощность добывающей организации (среднегодовая добыча полезного ископаемого), тыс. куб. м (тыс. т);</w:t>
      </w:r>
      <w:r w:rsidRPr="00B841B9">
        <w:rPr>
          <w:rFonts w:ascii="Arial" w:eastAsia="Times New Roman" w:hAnsi="Arial" w:cs="Arial"/>
          <w:sz w:val="24"/>
          <w:szCs w:val="24"/>
          <w:lang w:eastAsia="ru-RU"/>
        </w:rPr>
        <w:br/>
      </w:r>
    </w:p>
    <w:p w14:paraId="6EA78727"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2BF8D5BC"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B841B9">
        <w:rPr>
          <w:rFonts w:ascii="Arial" w:eastAsia="Times New Roman" w:hAnsi="Arial" w:cs="Arial"/>
          <w:sz w:val="24"/>
          <w:szCs w:val="24"/>
          <w:lang w:eastAsia="ru-RU"/>
        </w:rPr>
        <w:t>Vгод</w:t>
      </w:r>
      <w:proofErr w:type="spellEnd"/>
      <w:r w:rsidRPr="00B841B9">
        <w:rPr>
          <w:rFonts w:ascii="Arial" w:eastAsia="Times New Roman" w:hAnsi="Arial" w:cs="Arial"/>
          <w:sz w:val="24"/>
          <w:szCs w:val="24"/>
          <w:lang w:eastAsia="ru-RU"/>
        </w:rPr>
        <w:t xml:space="preserve"> 1, 2... n - общий объем добычи общераспространенных полезных ископаемых пользователями недр на территории Челябинской области за год, предшествующий расчетному;</w:t>
      </w:r>
      <w:r w:rsidRPr="00B841B9">
        <w:rPr>
          <w:rFonts w:ascii="Arial" w:eastAsia="Times New Roman" w:hAnsi="Arial" w:cs="Arial"/>
          <w:sz w:val="24"/>
          <w:szCs w:val="24"/>
          <w:lang w:eastAsia="ru-RU"/>
        </w:rPr>
        <w:br/>
      </w:r>
    </w:p>
    <w:p w14:paraId="042C5CCD"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34F0CD3C"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B841B9">
        <w:rPr>
          <w:rFonts w:ascii="Arial" w:eastAsia="Times New Roman" w:hAnsi="Arial" w:cs="Arial"/>
          <w:sz w:val="24"/>
          <w:szCs w:val="24"/>
          <w:lang w:eastAsia="ru-RU"/>
        </w:rPr>
        <w:t>Кn</w:t>
      </w:r>
      <w:proofErr w:type="spellEnd"/>
      <w:r w:rsidRPr="00B841B9">
        <w:rPr>
          <w:rFonts w:ascii="Arial" w:eastAsia="Times New Roman" w:hAnsi="Arial" w:cs="Arial"/>
          <w:sz w:val="24"/>
          <w:szCs w:val="24"/>
          <w:lang w:eastAsia="ru-RU"/>
        </w:rPr>
        <w:t xml:space="preserve"> - количество пользователей недр, осуществляющих добычу соответствующего вида полезного ископаемого (по объектам-аналогам).</w:t>
      </w:r>
      <w:r w:rsidRPr="00B841B9">
        <w:rPr>
          <w:rFonts w:ascii="Arial" w:eastAsia="Times New Roman" w:hAnsi="Arial" w:cs="Arial"/>
          <w:sz w:val="24"/>
          <w:szCs w:val="24"/>
          <w:lang w:eastAsia="ru-RU"/>
        </w:rPr>
        <w:br/>
      </w:r>
    </w:p>
    <w:p w14:paraId="14FE4972"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7A545B4C"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При выборе объекта-аналога учитываются вид полезного ископаемого, категория участка недр по величине (объемам) запасов (ресурсов) полезных ископаемых, способ добычи, вид товарной продукции.</w:t>
      </w:r>
      <w:r w:rsidRPr="00B841B9">
        <w:rPr>
          <w:rFonts w:ascii="Arial" w:eastAsia="Times New Roman" w:hAnsi="Arial" w:cs="Arial"/>
          <w:sz w:val="24"/>
          <w:szCs w:val="24"/>
          <w:lang w:eastAsia="ru-RU"/>
        </w:rPr>
        <w:br/>
      </w:r>
    </w:p>
    <w:p w14:paraId="113F7E5B"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4BDF1365"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Категория участка недр по величине (объемам) запасов полезных ископаемых устанавливается в соответствии с таблицей 1.</w:t>
      </w:r>
      <w:r w:rsidRPr="00B841B9">
        <w:rPr>
          <w:rFonts w:ascii="Arial" w:eastAsia="Times New Roman" w:hAnsi="Arial" w:cs="Arial"/>
          <w:sz w:val="24"/>
          <w:szCs w:val="24"/>
          <w:lang w:eastAsia="ru-RU"/>
        </w:rPr>
        <w:br/>
      </w:r>
    </w:p>
    <w:p w14:paraId="47F7D538"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09BBA2C8"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Категория участка недр по величине (объемам) запасов полезных ископаемых приведена в соответствии с постановлением Правительства Российской Федерации от 11.02.2005 N 69 "О государственной экспертизе запасов полезных ископаемых, геологической, экономической и экологической информации о предоставляемых в пользование участках недр, размере и порядке взимания платы за ее проведение".</w:t>
      </w:r>
      <w:r w:rsidRPr="00B841B9">
        <w:rPr>
          <w:rFonts w:ascii="Arial" w:eastAsia="Times New Roman" w:hAnsi="Arial" w:cs="Arial"/>
          <w:sz w:val="24"/>
          <w:szCs w:val="24"/>
          <w:lang w:eastAsia="ru-RU"/>
        </w:rPr>
        <w:br/>
      </w:r>
    </w:p>
    <w:p w14:paraId="7E609989" w14:textId="77777777" w:rsidR="00B841B9" w:rsidRPr="00B841B9" w:rsidRDefault="00B841B9" w:rsidP="00B841B9">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B841B9">
        <w:rPr>
          <w:rFonts w:ascii="Arial" w:eastAsia="Times New Roman" w:hAnsi="Arial" w:cs="Arial"/>
          <w:b/>
          <w:bCs/>
          <w:sz w:val="24"/>
          <w:szCs w:val="24"/>
          <w:lang w:eastAsia="ru-RU"/>
        </w:rPr>
        <w:br/>
      </w:r>
      <w:r w:rsidRPr="00B841B9">
        <w:rPr>
          <w:rFonts w:ascii="Arial" w:eastAsia="Times New Roman" w:hAnsi="Arial" w:cs="Arial"/>
          <w:b/>
          <w:bCs/>
          <w:sz w:val="24"/>
          <w:szCs w:val="24"/>
          <w:lang w:eastAsia="ru-RU"/>
        </w:rPr>
        <w:br/>
        <w:t>Таблица 1</w:t>
      </w:r>
    </w:p>
    <w:tbl>
      <w:tblPr>
        <w:tblW w:w="0" w:type="auto"/>
        <w:tblCellMar>
          <w:left w:w="0" w:type="dxa"/>
          <w:right w:w="0" w:type="dxa"/>
        </w:tblCellMar>
        <w:tblLook w:val="04A0" w:firstRow="1" w:lastRow="0" w:firstColumn="1" w:lastColumn="0" w:noHBand="0" w:noVBand="1"/>
      </w:tblPr>
      <w:tblGrid>
        <w:gridCol w:w="3306"/>
        <w:gridCol w:w="6049"/>
      </w:tblGrid>
      <w:tr w:rsidR="00B841B9" w:rsidRPr="00B841B9" w14:paraId="33186EA7" w14:textId="77777777" w:rsidTr="00B841B9">
        <w:trPr>
          <w:trHeight w:val="15"/>
        </w:trPr>
        <w:tc>
          <w:tcPr>
            <w:tcW w:w="3326" w:type="dxa"/>
            <w:hideMark/>
          </w:tcPr>
          <w:p w14:paraId="5AEF1687" w14:textId="77777777" w:rsidR="00B841B9" w:rsidRPr="00B841B9" w:rsidRDefault="00B841B9">
            <w:pPr>
              <w:rPr>
                <w:rFonts w:ascii="Arial" w:eastAsia="Times New Roman" w:hAnsi="Arial" w:cs="Arial"/>
                <w:b/>
                <w:bCs/>
                <w:sz w:val="24"/>
                <w:szCs w:val="24"/>
                <w:lang w:eastAsia="ru-RU"/>
              </w:rPr>
            </w:pPr>
          </w:p>
        </w:tc>
        <w:tc>
          <w:tcPr>
            <w:tcW w:w="6098" w:type="dxa"/>
            <w:hideMark/>
          </w:tcPr>
          <w:p w14:paraId="21401954" w14:textId="77777777" w:rsidR="00B841B9" w:rsidRPr="00B841B9" w:rsidRDefault="00B841B9">
            <w:pPr>
              <w:rPr>
                <w:sz w:val="20"/>
                <w:szCs w:val="20"/>
                <w:lang w:eastAsia="ru-RU"/>
              </w:rPr>
            </w:pPr>
          </w:p>
        </w:tc>
      </w:tr>
      <w:tr w:rsidR="00B841B9" w:rsidRPr="00B841B9" w14:paraId="3D81E230" w14:textId="77777777" w:rsidTr="00B841B9">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9CCEA"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Категория участка недр</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171B74"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Величина (объем) запасов (ресурсов),</w:t>
            </w:r>
          </w:p>
          <w:p w14:paraId="448500F0"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млн. куб. м</w:t>
            </w:r>
          </w:p>
        </w:tc>
      </w:tr>
      <w:tr w:rsidR="00B841B9" w:rsidRPr="00B841B9" w14:paraId="050C872D" w14:textId="77777777" w:rsidTr="00B841B9">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F0D9A" w14:textId="77777777" w:rsidR="00B841B9" w:rsidRPr="00B841B9" w:rsidRDefault="00B841B9">
            <w:pPr>
              <w:spacing w:after="0" w:line="240" w:lineRule="auto"/>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Крупный</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498F55"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&gt; 5,0</w:t>
            </w:r>
          </w:p>
        </w:tc>
      </w:tr>
      <w:tr w:rsidR="00B841B9" w:rsidRPr="00B841B9" w14:paraId="6D89054C" w14:textId="77777777" w:rsidTr="00B841B9">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A6DEA" w14:textId="77777777" w:rsidR="00B841B9" w:rsidRPr="00B841B9" w:rsidRDefault="00B841B9">
            <w:pPr>
              <w:spacing w:after="0" w:line="240" w:lineRule="auto"/>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Средний</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47760F"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1 - 5</w:t>
            </w:r>
          </w:p>
        </w:tc>
      </w:tr>
      <w:tr w:rsidR="00B841B9" w:rsidRPr="00B841B9" w14:paraId="2DCB55D6" w14:textId="77777777" w:rsidTr="00B841B9">
        <w:tc>
          <w:tcPr>
            <w:tcW w:w="332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D2B5F" w14:textId="77777777" w:rsidR="00B841B9" w:rsidRPr="00B841B9" w:rsidRDefault="00B841B9">
            <w:pPr>
              <w:spacing w:after="0" w:line="240" w:lineRule="auto"/>
              <w:textAlignment w:val="baseline"/>
              <w:rPr>
                <w:rFonts w:ascii="Times New Roman" w:eastAsia="Times New Roman" w:hAnsi="Times New Roman" w:cs="Times New Roman"/>
                <w:sz w:val="24"/>
                <w:szCs w:val="24"/>
                <w:lang w:eastAsia="ru-RU"/>
              </w:rPr>
            </w:pPr>
            <w:r w:rsidRPr="00B841B9">
              <w:rPr>
                <w:rFonts w:ascii="Times New Roman" w:eastAsia="Times New Roman" w:hAnsi="Times New Roman" w:cs="Times New Roman"/>
                <w:sz w:val="24"/>
                <w:szCs w:val="24"/>
                <w:lang w:eastAsia="ru-RU"/>
              </w:rPr>
              <w:t>Мелкий</w:t>
            </w:r>
          </w:p>
        </w:tc>
        <w:tc>
          <w:tcPr>
            <w:tcW w:w="60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5B19A" w14:textId="77777777" w:rsidR="00B841B9" w:rsidRPr="00B841B9" w:rsidRDefault="00B841B9">
            <w:pPr>
              <w:spacing w:after="0" w:line="240" w:lineRule="auto"/>
              <w:jc w:val="center"/>
              <w:textAlignment w:val="baseline"/>
              <w:rPr>
                <w:rFonts w:ascii="Times New Roman" w:eastAsia="Times New Roman" w:hAnsi="Times New Roman" w:cs="Times New Roman"/>
                <w:sz w:val="24"/>
                <w:szCs w:val="24"/>
                <w:lang w:eastAsia="ru-RU"/>
              </w:rPr>
            </w:pPr>
            <w:proofErr w:type="gramStart"/>
            <w:r w:rsidRPr="00B841B9">
              <w:rPr>
                <w:rFonts w:ascii="Times New Roman" w:eastAsia="Times New Roman" w:hAnsi="Times New Roman" w:cs="Times New Roman"/>
                <w:sz w:val="24"/>
                <w:szCs w:val="24"/>
                <w:lang w:eastAsia="ru-RU"/>
              </w:rPr>
              <w:t>&lt; 1</w:t>
            </w:r>
            <w:proofErr w:type="gramEnd"/>
            <w:r w:rsidRPr="00B841B9">
              <w:rPr>
                <w:rFonts w:ascii="Times New Roman" w:eastAsia="Times New Roman" w:hAnsi="Times New Roman" w:cs="Times New Roman"/>
                <w:sz w:val="24"/>
                <w:szCs w:val="24"/>
                <w:lang w:eastAsia="ru-RU"/>
              </w:rPr>
              <w:t>,0</w:t>
            </w:r>
          </w:p>
        </w:tc>
      </w:tr>
    </w:tbl>
    <w:p w14:paraId="6CA8B401" w14:textId="77777777" w:rsidR="00B841B9" w:rsidRPr="00B841B9" w:rsidRDefault="00B841B9" w:rsidP="00B841B9">
      <w:pPr>
        <w:shd w:val="clear" w:color="auto" w:fill="FFFFFF"/>
        <w:spacing w:after="0" w:line="240" w:lineRule="auto"/>
        <w:textAlignment w:val="baseline"/>
        <w:rPr>
          <w:rFonts w:ascii="Arial" w:eastAsia="Times New Roman" w:hAnsi="Arial" w:cs="Arial"/>
          <w:sz w:val="24"/>
          <w:szCs w:val="24"/>
          <w:lang w:eastAsia="ru-RU"/>
        </w:rPr>
      </w:pPr>
    </w:p>
    <w:p w14:paraId="1F0E6C39" w14:textId="77777777" w:rsidR="00B841B9" w:rsidRPr="00B841B9" w:rsidRDefault="00B841B9" w:rsidP="00B841B9">
      <w:pPr>
        <w:shd w:val="clear" w:color="auto" w:fill="FFFFFF"/>
        <w:spacing w:after="0" w:line="240" w:lineRule="auto"/>
        <w:ind w:firstLine="480"/>
        <w:textAlignment w:val="baseline"/>
        <w:rPr>
          <w:rFonts w:ascii="Arial" w:eastAsia="Times New Roman" w:hAnsi="Arial" w:cs="Arial"/>
          <w:sz w:val="24"/>
          <w:szCs w:val="24"/>
          <w:lang w:eastAsia="ru-RU"/>
        </w:rPr>
      </w:pPr>
      <w:r w:rsidRPr="00B841B9">
        <w:rPr>
          <w:rFonts w:ascii="Arial" w:eastAsia="Times New Roman" w:hAnsi="Arial" w:cs="Arial"/>
          <w:sz w:val="24"/>
          <w:szCs w:val="24"/>
          <w:lang w:eastAsia="ru-RU"/>
        </w:rPr>
        <w:t xml:space="preserve">- в случае невозможности выбора объекта-аналога среднегодовая мощность добывающей организации определяется </w:t>
      </w:r>
      <w:proofErr w:type="spellStart"/>
      <w:r w:rsidRPr="00B841B9">
        <w:rPr>
          <w:rFonts w:ascii="Arial" w:eastAsia="Times New Roman" w:hAnsi="Arial" w:cs="Arial"/>
          <w:sz w:val="24"/>
          <w:szCs w:val="24"/>
          <w:lang w:eastAsia="ru-RU"/>
        </w:rPr>
        <w:t>комиссионно</w:t>
      </w:r>
      <w:proofErr w:type="spellEnd"/>
      <w:r w:rsidRPr="00B841B9">
        <w:rPr>
          <w:rFonts w:ascii="Arial" w:eastAsia="Times New Roman" w:hAnsi="Arial" w:cs="Arial"/>
          <w:sz w:val="24"/>
          <w:szCs w:val="24"/>
          <w:lang w:eastAsia="ru-RU"/>
        </w:rPr>
        <w:t>, исходя из количества полезного ископаемого на участке недр и планируемой продолжительности периода разработки запасов, который принимается в рамках срока действия лицензии.</w:t>
      </w:r>
    </w:p>
    <w:p w14:paraId="075A82E1" w14:textId="77777777" w:rsidR="00B841B9" w:rsidRPr="00B841B9" w:rsidRDefault="00B841B9" w:rsidP="00B841B9"/>
    <w:p w14:paraId="3B7BEAA7" w14:textId="77777777" w:rsidR="00A44494" w:rsidRPr="00B841B9" w:rsidRDefault="00A44494"/>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841B9"/>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