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8E9E045" w14:textId="77777777" w:rsidR="004B5A76" w:rsidRPr="004B5A76" w:rsidRDefault="004B5A76" w:rsidP="004B5A76">
      <w:pPr>
        <w:spacing w:after="240" w:line="240" w:lineRule="auto"/>
        <w:jc w:val="center"/>
        <w:textAlignment w:val="baseline"/>
        <w:outlineLvl w:val="1"/>
        <w:rPr>
          <w:rFonts w:ascii="Arial" w:eastAsia="Times New Roman" w:hAnsi="Arial" w:cs="Arial"/>
          <w:b/>
          <w:bCs/>
          <w:sz w:val="24"/>
          <w:szCs w:val="24"/>
        </w:rPr>
      </w:pPr>
      <w:r w:rsidRPr="004B5A76">
        <w:rPr>
          <w:rFonts w:ascii="Arial" w:eastAsia="Times New Roman" w:hAnsi="Arial" w:cs="Arial"/>
          <w:b/>
          <w:bCs/>
          <w:sz w:val="24"/>
          <w:szCs w:val="24"/>
        </w:rPr>
        <w:t>ДЕПАРТАМЕНТ ПРИРОДНО-РЕСУРСНОГО РЕГУЛИРОВАНИЯ, ЛЕСНЫХ ОТНОШЕНИЙ И РАЗВИТИЯ НЕФТЕГАЗОВОГО КОМПЛЕКСА ЯМАЛО-НЕНЕЦКОГО АВТОНОМНОГО ОКРУГА</w:t>
      </w:r>
      <w:r w:rsidRPr="004B5A76">
        <w:rPr>
          <w:rFonts w:ascii="Arial" w:eastAsia="Times New Roman" w:hAnsi="Arial" w:cs="Arial"/>
          <w:b/>
          <w:bCs/>
          <w:sz w:val="24"/>
          <w:szCs w:val="24"/>
        </w:rPr>
        <w:br/>
      </w:r>
      <w:r w:rsidRPr="004B5A76">
        <w:rPr>
          <w:rFonts w:ascii="Arial" w:eastAsia="Times New Roman" w:hAnsi="Arial" w:cs="Arial"/>
          <w:b/>
          <w:bCs/>
          <w:sz w:val="24"/>
          <w:szCs w:val="24"/>
        </w:rPr>
        <w:br/>
        <w:t>ПРИКАЗ</w:t>
      </w:r>
      <w:r w:rsidRPr="004B5A76">
        <w:rPr>
          <w:rFonts w:ascii="Arial" w:eastAsia="Times New Roman" w:hAnsi="Arial" w:cs="Arial"/>
          <w:b/>
          <w:bCs/>
          <w:sz w:val="24"/>
          <w:szCs w:val="24"/>
        </w:rPr>
        <w:br/>
      </w:r>
      <w:r w:rsidRPr="004B5A76">
        <w:rPr>
          <w:rFonts w:ascii="Arial" w:eastAsia="Times New Roman" w:hAnsi="Arial" w:cs="Arial"/>
          <w:b/>
          <w:bCs/>
          <w:sz w:val="24"/>
          <w:szCs w:val="24"/>
        </w:rPr>
        <w:br/>
        <w:t>от 1 марта 2019 года N 694</w:t>
      </w:r>
      <w:r w:rsidRPr="004B5A76">
        <w:rPr>
          <w:rFonts w:ascii="Arial" w:eastAsia="Times New Roman" w:hAnsi="Arial" w:cs="Arial"/>
          <w:b/>
          <w:bCs/>
          <w:sz w:val="24"/>
          <w:szCs w:val="24"/>
        </w:rPr>
        <w:br/>
      </w:r>
      <w:r w:rsidRPr="004B5A76">
        <w:rPr>
          <w:rFonts w:ascii="Arial" w:eastAsia="Times New Roman" w:hAnsi="Arial" w:cs="Arial"/>
          <w:b/>
          <w:bCs/>
          <w:sz w:val="24"/>
          <w:szCs w:val="24"/>
        </w:rPr>
        <w:br/>
      </w:r>
      <w:r w:rsidRPr="004B5A76">
        <w:rPr>
          <w:rFonts w:ascii="Arial" w:eastAsia="Times New Roman" w:hAnsi="Arial" w:cs="Arial"/>
          <w:b/>
          <w:bCs/>
          <w:sz w:val="24"/>
          <w:szCs w:val="24"/>
        </w:rPr>
        <w:br/>
        <w:t>Об утверждении ставок платы за пользование водными объектами, находящимися в собственности Ямало-Ненецкого автономного округа</w:t>
      </w:r>
    </w:p>
    <w:p w14:paraId="7F4D7B9F" w14:textId="77777777" w:rsidR="004B5A76" w:rsidRPr="004B5A76" w:rsidRDefault="004B5A76" w:rsidP="004B5A76">
      <w:pPr>
        <w:spacing w:after="0" w:line="240" w:lineRule="auto"/>
        <w:jc w:val="center"/>
        <w:textAlignment w:val="baseline"/>
        <w:rPr>
          <w:rFonts w:ascii="Arial" w:eastAsia="Times New Roman" w:hAnsi="Arial" w:cs="Arial"/>
          <w:sz w:val="24"/>
          <w:szCs w:val="24"/>
        </w:rPr>
      </w:pPr>
      <w:r w:rsidRPr="004B5A76">
        <w:rPr>
          <w:rFonts w:ascii="Arial" w:eastAsia="Times New Roman" w:hAnsi="Arial" w:cs="Arial"/>
          <w:sz w:val="24"/>
          <w:szCs w:val="24"/>
        </w:rPr>
        <w:t>(с изменениями на 12 августа 2019 года)</w:t>
      </w:r>
    </w:p>
    <w:p w14:paraId="5A8C8AAE" w14:textId="77777777" w:rsidR="004B5A76" w:rsidRPr="004B5A76" w:rsidRDefault="004B5A76" w:rsidP="004B5A76">
      <w:pPr>
        <w:spacing w:after="0" w:line="240" w:lineRule="auto"/>
        <w:jc w:val="center"/>
        <w:textAlignment w:val="baseline"/>
        <w:rPr>
          <w:rFonts w:ascii="Arial" w:eastAsia="Times New Roman" w:hAnsi="Arial" w:cs="Arial"/>
          <w:sz w:val="24"/>
          <w:szCs w:val="24"/>
        </w:rPr>
      </w:pPr>
      <w:r w:rsidRPr="004B5A76">
        <w:rPr>
          <w:rFonts w:ascii="Arial" w:eastAsia="Times New Roman" w:hAnsi="Arial" w:cs="Arial"/>
          <w:sz w:val="24"/>
          <w:szCs w:val="24"/>
        </w:rPr>
        <w:t>(в ред. приказа Департамента природно-ресурсного регулирования, лесных отношений и развития нефтегазового комплекса ЯНАО от 12.08.2019 N 3059)</w:t>
      </w:r>
    </w:p>
    <w:p w14:paraId="5CB1223B" w14:textId="77777777" w:rsidR="004B5A76" w:rsidRPr="004B5A76" w:rsidRDefault="004B5A76" w:rsidP="004B5A76">
      <w:pPr>
        <w:spacing w:after="0" w:line="240" w:lineRule="auto"/>
        <w:textAlignment w:val="baseline"/>
        <w:rPr>
          <w:rFonts w:ascii="Arial" w:eastAsia="Times New Roman" w:hAnsi="Arial" w:cs="Arial"/>
          <w:sz w:val="24"/>
          <w:szCs w:val="24"/>
        </w:rPr>
      </w:pPr>
      <w:r w:rsidRPr="004B5A76">
        <w:rPr>
          <w:rFonts w:ascii="Arial" w:eastAsia="Times New Roman" w:hAnsi="Arial" w:cs="Arial"/>
          <w:sz w:val="24"/>
          <w:szCs w:val="24"/>
        </w:rPr>
        <w:br/>
      </w:r>
      <w:r w:rsidRPr="004B5A76">
        <w:rPr>
          <w:rFonts w:ascii="Arial" w:eastAsia="Times New Roman" w:hAnsi="Arial" w:cs="Arial"/>
          <w:sz w:val="24"/>
          <w:szCs w:val="24"/>
        </w:rPr>
        <w:br/>
      </w:r>
    </w:p>
    <w:p w14:paraId="127B164A"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В соответствии со статьями 20, 25 Водного кодекса Российской Федерации, статьей 2 Закона Ямало-Ненецкого автономного округа от 19 июля 2012 года N 62-ЗАО "О регулировании отдельных водных отношений в Ямало-Ненецком автономном округе", пунктом 2.1.14 Положения о департаменте природно-ресурсного регулирования, лесных отношений и развития нефтегазового комплекса Ямало-Ненецкого автономного округа, утвержденного постановлением Правительства Ямало-Ненецкого автономного округа от 29 апреля 2013 года N 297-П, приказываю:</w:t>
      </w:r>
      <w:r w:rsidRPr="004B5A76">
        <w:rPr>
          <w:rFonts w:ascii="Arial" w:eastAsia="Times New Roman" w:hAnsi="Arial" w:cs="Arial"/>
          <w:sz w:val="24"/>
          <w:szCs w:val="24"/>
        </w:rPr>
        <w:br/>
      </w:r>
    </w:p>
    <w:p w14:paraId="1712DB18"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496BE2C3"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1. Установить ставки платы за пользование водными объектами, находящимися в собственности Ямало-Ненецкого автономного округа, согласно Приложению N 1 к настоящему приказу.</w:t>
      </w:r>
      <w:r w:rsidRPr="004B5A76">
        <w:rPr>
          <w:rFonts w:ascii="Arial" w:eastAsia="Times New Roman" w:hAnsi="Arial" w:cs="Arial"/>
          <w:sz w:val="24"/>
          <w:szCs w:val="24"/>
        </w:rPr>
        <w:br/>
      </w:r>
    </w:p>
    <w:p w14:paraId="4AE731C6"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226D5817"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2. Утвердить Правила расчета и взимания платы за пользование водными объектами, находящимися в собственности Ямало-Ненецкого автономного округа, согласно Приложению N 2 к настоящему приказу.</w:t>
      </w:r>
      <w:r w:rsidRPr="004B5A76">
        <w:rPr>
          <w:rFonts w:ascii="Arial" w:eastAsia="Times New Roman" w:hAnsi="Arial" w:cs="Arial"/>
          <w:sz w:val="24"/>
          <w:szCs w:val="24"/>
        </w:rPr>
        <w:br/>
      </w:r>
    </w:p>
    <w:p w14:paraId="57D9380E"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434858C9"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3. Признать утратившим силу приказ департамента природно-ресурсного регулирования, лесных отношений и развития нефтегазового комплекса Ямало-Ненецкого автономного округа от 25 октября 2010 года N 704 "Об утверждении ставок платы за пользование водными объектами, находящимися в собственности Ямало-Ненецкого автономного округа".</w:t>
      </w:r>
      <w:r w:rsidRPr="004B5A76">
        <w:rPr>
          <w:rFonts w:ascii="Arial" w:eastAsia="Times New Roman" w:hAnsi="Arial" w:cs="Arial"/>
          <w:sz w:val="24"/>
          <w:szCs w:val="24"/>
        </w:rPr>
        <w:br/>
      </w:r>
    </w:p>
    <w:p w14:paraId="4982FFD8"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419DDFBB"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4. Настоящий приказ распространяется на правоотношения, возникшие с 01 января 2019 года.</w:t>
      </w:r>
      <w:r w:rsidRPr="004B5A76">
        <w:rPr>
          <w:rFonts w:ascii="Arial" w:eastAsia="Times New Roman" w:hAnsi="Arial" w:cs="Arial"/>
          <w:sz w:val="24"/>
          <w:szCs w:val="24"/>
        </w:rPr>
        <w:br/>
      </w:r>
    </w:p>
    <w:p w14:paraId="609CCFBD"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7ADA7872"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 xml:space="preserve">5. Контроль за исполнением настоящего приказа возложить на начальника управления водных ресурсов департамента природно-ресурсного регулирования, лесных отношений и развития нефтегазового комплекса Ямало-Ненецкого </w:t>
      </w:r>
      <w:r w:rsidRPr="004B5A76">
        <w:rPr>
          <w:rFonts w:ascii="Arial" w:eastAsia="Times New Roman" w:hAnsi="Arial" w:cs="Arial"/>
          <w:sz w:val="24"/>
          <w:szCs w:val="24"/>
        </w:rPr>
        <w:lastRenderedPageBreak/>
        <w:t>автономного округа.</w:t>
      </w:r>
      <w:r w:rsidRPr="004B5A76">
        <w:rPr>
          <w:rFonts w:ascii="Arial" w:eastAsia="Times New Roman" w:hAnsi="Arial" w:cs="Arial"/>
          <w:sz w:val="24"/>
          <w:szCs w:val="24"/>
        </w:rPr>
        <w:br/>
      </w:r>
    </w:p>
    <w:p w14:paraId="2A4BB81C" w14:textId="77777777" w:rsidR="004B5A76" w:rsidRPr="004B5A76" w:rsidRDefault="004B5A76" w:rsidP="004B5A76">
      <w:pPr>
        <w:spacing w:after="0" w:line="240" w:lineRule="auto"/>
        <w:jc w:val="right"/>
        <w:textAlignment w:val="baseline"/>
        <w:rPr>
          <w:rFonts w:ascii="Arial" w:eastAsia="Times New Roman" w:hAnsi="Arial" w:cs="Arial"/>
          <w:sz w:val="24"/>
          <w:szCs w:val="24"/>
        </w:rPr>
      </w:pPr>
      <w:r w:rsidRPr="004B5A76">
        <w:rPr>
          <w:rFonts w:ascii="Arial" w:eastAsia="Times New Roman" w:hAnsi="Arial" w:cs="Arial"/>
          <w:sz w:val="24"/>
          <w:szCs w:val="24"/>
        </w:rPr>
        <w:br/>
      </w:r>
      <w:r w:rsidRPr="004B5A76">
        <w:rPr>
          <w:rFonts w:ascii="Arial" w:eastAsia="Times New Roman" w:hAnsi="Arial" w:cs="Arial"/>
          <w:sz w:val="24"/>
          <w:szCs w:val="24"/>
        </w:rPr>
        <w:br/>
        <w:t>Директор департамента</w:t>
      </w:r>
      <w:r w:rsidRPr="004B5A76">
        <w:rPr>
          <w:rFonts w:ascii="Arial" w:eastAsia="Times New Roman" w:hAnsi="Arial" w:cs="Arial"/>
          <w:sz w:val="24"/>
          <w:szCs w:val="24"/>
        </w:rPr>
        <w:br/>
        <w:t>В.Л.ГАЛУЗА</w:t>
      </w:r>
    </w:p>
    <w:p w14:paraId="35E2C60A" w14:textId="77777777" w:rsidR="004B5A76" w:rsidRPr="004B5A76" w:rsidRDefault="004B5A76" w:rsidP="004B5A76">
      <w:pPr>
        <w:spacing w:after="240" w:line="240" w:lineRule="auto"/>
        <w:jc w:val="right"/>
        <w:textAlignment w:val="baseline"/>
        <w:outlineLvl w:val="1"/>
        <w:rPr>
          <w:rFonts w:ascii="Arial" w:eastAsia="Times New Roman" w:hAnsi="Arial" w:cs="Arial"/>
          <w:b/>
          <w:bCs/>
          <w:sz w:val="24"/>
          <w:szCs w:val="24"/>
        </w:rPr>
      </w:pPr>
      <w:r w:rsidRPr="004B5A76">
        <w:rPr>
          <w:rFonts w:ascii="Arial" w:eastAsia="Times New Roman" w:hAnsi="Arial" w:cs="Arial"/>
          <w:b/>
          <w:bCs/>
          <w:sz w:val="24"/>
          <w:szCs w:val="24"/>
        </w:rPr>
        <w:br/>
      </w:r>
      <w:r w:rsidRPr="004B5A76">
        <w:rPr>
          <w:rFonts w:ascii="Arial" w:eastAsia="Times New Roman" w:hAnsi="Arial" w:cs="Arial"/>
          <w:b/>
          <w:bCs/>
          <w:sz w:val="24"/>
          <w:szCs w:val="24"/>
        </w:rPr>
        <w:br/>
        <w:t>Приложение N 1</w:t>
      </w:r>
    </w:p>
    <w:p w14:paraId="57D44C7E" w14:textId="77777777" w:rsidR="004B5A76" w:rsidRPr="004B5A76" w:rsidRDefault="004B5A76" w:rsidP="004B5A76">
      <w:pPr>
        <w:spacing w:after="0" w:line="240" w:lineRule="auto"/>
        <w:jc w:val="right"/>
        <w:textAlignment w:val="baseline"/>
        <w:rPr>
          <w:rFonts w:ascii="Arial" w:eastAsia="Times New Roman" w:hAnsi="Arial" w:cs="Arial"/>
          <w:sz w:val="24"/>
          <w:szCs w:val="24"/>
        </w:rPr>
      </w:pPr>
      <w:r w:rsidRPr="004B5A76">
        <w:rPr>
          <w:rFonts w:ascii="Arial" w:eastAsia="Times New Roman" w:hAnsi="Arial" w:cs="Arial"/>
          <w:sz w:val="24"/>
          <w:szCs w:val="24"/>
        </w:rPr>
        <w:br/>
      </w:r>
      <w:r w:rsidRPr="004B5A76">
        <w:rPr>
          <w:rFonts w:ascii="Arial" w:eastAsia="Times New Roman" w:hAnsi="Arial" w:cs="Arial"/>
          <w:sz w:val="24"/>
          <w:szCs w:val="24"/>
        </w:rPr>
        <w:br/>
        <w:t>Утверждены</w:t>
      </w:r>
      <w:r w:rsidRPr="004B5A76">
        <w:rPr>
          <w:rFonts w:ascii="Arial" w:eastAsia="Times New Roman" w:hAnsi="Arial" w:cs="Arial"/>
          <w:sz w:val="24"/>
          <w:szCs w:val="24"/>
        </w:rPr>
        <w:br/>
        <w:t>приказом департамента природно-ресурсного</w:t>
      </w:r>
      <w:r w:rsidRPr="004B5A76">
        <w:rPr>
          <w:rFonts w:ascii="Arial" w:eastAsia="Times New Roman" w:hAnsi="Arial" w:cs="Arial"/>
          <w:sz w:val="24"/>
          <w:szCs w:val="24"/>
        </w:rPr>
        <w:br/>
        <w:t>регулирования, лесных отношений</w:t>
      </w:r>
      <w:r w:rsidRPr="004B5A76">
        <w:rPr>
          <w:rFonts w:ascii="Arial" w:eastAsia="Times New Roman" w:hAnsi="Arial" w:cs="Arial"/>
          <w:sz w:val="24"/>
          <w:szCs w:val="24"/>
        </w:rPr>
        <w:br/>
        <w:t>и развития нефтегазового комплекса</w:t>
      </w:r>
      <w:r w:rsidRPr="004B5A76">
        <w:rPr>
          <w:rFonts w:ascii="Arial" w:eastAsia="Times New Roman" w:hAnsi="Arial" w:cs="Arial"/>
          <w:sz w:val="24"/>
          <w:szCs w:val="24"/>
        </w:rPr>
        <w:br/>
        <w:t>Ямало-Ненецкого автономного округа</w:t>
      </w:r>
      <w:r w:rsidRPr="004B5A76">
        <w:rPr>
          <w:rFonts w:ascii="Arial" w:eastAsia="Times New Roman" w:hAnsi="Arial" w:cs="Arial"/>
          <w:sz w:val="24"/>
          <w:szCs w:val="24"/>
        </w:rPr>
        <w:br/>
        <w:t>от 1 марта 2019 года N 694</w:t>
      </w:r>
    </w:p>
    <w:p w14:paraId="068755F8" w14:textId="77777777" w:rsidR="004B5A76" w:rsidRPr="004B5A76" w:rsidRDefault="004B5A76" w:rsidP="004B5A76">
      <w:pPr>
        <w:spacing w:after="240" w:line="240" w:lineRule="auto"/>
        <w:jc w:val="center"/>
        <w:textAlignment w:val="baseline"/>
        <w:rPr>
          <w:rFonts w:ascii="Arial" w:eastAsia="Times New Roman" w:hAnsi="Arial" w:cs="Arial"/>
          <w:b/>
          <w:bCs/>
          <w:sz w:val="24"/>
          <w:szCs w:val="24"/>
        </w:rPr>
      </w:pPr>
      <w:r w:rsidRPr="004B5A76">
        <w:rPr>
          <w:rFonts w:ascii="Arial" w:eastAsia="Times New Roman" w:hAnsi="Arial" w:cs="Arial"/>
          <w:b/>
          <w:bCs/>
          <w:sz w:val="24"/>
          <w:szCs w:val="24"/>
        </w:rPr>
        <w:br/>
      </w:r>
      <w:r w:rsidRPr="004B5A76">
        <w:rPr>
          <w:rFonts w:ascii="Arial" w:eastAsia="Times New Roman" w:hAnsi="Arial" w:cs="Arial"/>
          <w:b/>
          <w:bCs/>
          <w:sz w:val="24"/>
          <w:szCs w:val="24"/>
        </w:rPr>
        <w:br/>
        <w:t>СТАВКИ ПЛАТЫ ЗА ПОЛЬЗОВАНИЕ ВОДНЫМИ ОБЪЕКТАМИ, НАХОДЯЩИМИСЯ В СОБСТВЕННОСТИ ЯМАЛО-НЕНЕЦКОГО АВТОНОМНОГО ОКРУГА</w:t>
      </w:r>
    </w:p>
    <w:p w14:paraId="10F9B68E"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56DD268C"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1. Ставки платы за пользование водными объектами, находящимися в собственности Ямало-Ненецкого автономного округа:</w:t>
      </w:r>
    </w:p>
    <w:tbl>
      <w:tblPr>
        <w:tblW w:w="0" w:type="auto"/>
        <w:tblCellMar>
          <w:left w:w="0" w:type="dxa"/>
          <w:right w:w="0" w:type="dxa"/>
        </w:tblCellMar>
        <w:tblLook w:val="04A0" w:firstRow="1" w:lastRow="0" w:firstColumn="1" w:lastColumn="0" w:noHBand="0" w:noVBand="1"/>
      </w:tblPr>
      <w:tblGrid>
        <w:gridCol w:w="658"/>
        <w:gridCol w:w="5776"/>
        <w:gridCol w:w="2921"/>
      </w:tblGrid>
      <w:tr w:rsidR="004B5A76" w:rsidRPr="004B5A76" w14:paraId="5305830D" w14:textId="77777777" w:rsidTr="004B5A76">
        <w:trPr>
          <w:trHeight w:val="15"/>
        </w:trPr>
        <w:tc>
          <w:tcPr>
            <w:tcW w:w="554" w:type="dxa"/>
            <w:hideMark/>
          </w:tcPr>
          <w:p w14:paraId="7D1CB534" w14:textId="77777777" w:rsidR="004B5A76" w:rsidRPr="004B5A76" w:rsidRDefault="004B5A76">
            <w:pPr>
              <w:rPr>
                <w:rFonts w:ascii="Arial" w:eastAsia="Times New Roman" w:hAnsi="Arial" w:cs="Arial"/>
                <w:sz w:val="24"/>
                <w:szCs w:val="24"/>
              </w:rPr>
            </w:pPr>
          </w:p>
        </w:tc>
        <w:tc>
          <w:tcPr>
            <w:tcW w:w="5914" w:type="dxa"/>
            <w:hideMark/>
          </w:tcPr>
          <w:p w14:paraId="51607EC1" w14:textId="77777777" w:rsidR="004B5A76" w:rsidRPr="004B5A76" w:rsidRDefault="004B5A76">
            <w:pPr>
              <w:spacing w:after="200" w:line="276" w:lineRule="auto"/>
              <w:rPr>
                <w:rFonts w:eastAsiaTheme="minorHAnsi"/>
                <w:sz w:val="20"/>
                <w:szCs w:val="20"/>
              </w:rPr>
            </w:pPr>
          </w:p>
        </w:tc>
        <w:tc>
          <w:tcPr>
            <w:tcW w:w="2957" w:type="dxa"/>
            <w:hideMark/>
          </w:tcPr>
          <w:p w14:paraId="7DEB9D7B" w14:textId="77777777" w:rsidR="004B5A76" w:rsidRPr="004B5A76" w:rsidRDefault="004B5A76">
            <w:pPr>
              <w:spacing w:after="200" w:line="276" w:lineRule="auto"/>
              <w:rPr>
                <w:rFonts w:eastAsiaTheme="minorHAnsi"/>
                <w:sz w:val="20"/>
                <w:szCs w:val="20"/>
              </w:rPr>
            </w:pPr>
          </w:p>
        </w:tc>
      </w:tr>
      <w:tr w:rsidR="004B5A76" w:rsidRPr="004B5A76" w14:paraId="2C84DE01" w14:textId="77777777" w:rsidTr="004B5A7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15DDF"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N п/п</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AE6D1"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Цель предоставления водного объекта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59940"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Ставка платы &lt;*&gt;</w:t>
            </w:r>
          </w:p>
        </w:tc>
      </w:tr>
      <w:tr w:rsidR="004B5A76" w:rsidRPr="004B5A76" w14:paraId="1A9F8071" w14:textId="77777777" w:rsidTr="004B5A7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59739"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1</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7046E" w14:textId="77777777" w:rsidR="004B5A76" w:rsidRPr="004B5A76" w:rsidRDefault="004B5A76">
            <w:pPr>
              <w:spacing w:after="0" w:line="240" w:lineRule="auto"/>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Забор (изъятие) водных ресурсов из водных объектов</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1B592"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рублей за 1 тыс. куб. м водных ресурсов</w:t>
            </w:r>
          </w:p>
        </w:tc>
      </w:tr>
      <w:tr w:rsidR="004B5A76" w:rsidRPr="004B5A76" w14:paraId="4E4850A4" w14:textId="77777777" w:rsidTr="004B5A7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F3482"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1.1.</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E47AE" w14:textId="77777777" w:rsidR="004B5A76" w:rsidRPr="004B5A76" w:rsidRDefault="004B5A76">
            <w:pPr>
              <w:spacing w:after="0" w:line="240" w:lineRule="auto"/>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бассейн р. Обь</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099C7"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270</w:t>
            </w:r>
          </w:p>
        </w:tc>
      </w:tr>
      <w:tr w:rsidR="004B5A76" w:rsidRPr="004B5A76" w14:paraId="5CD44ED6" w14:textId="77777777" w:rsidTr="004B5A7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A8C41"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1.2.</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369F1" w14:textId="77777777" w:rsidR="004B5A76" w:rsidRPr="004B5A76" w:rsidRDefault="004B5A76">
            <w:pPr>
              <w:spacing w:after="0" w:line="240" w:lineRule="auto"/>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реки бассейна Карского моря (за исключением реки Обь)</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3EB3D"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276</w:t>
            </w:r>
          </w:p>
        </w:tc>
      </w:tr>
      <w:tr w:rsidR="004B5A76" w:rsidRPr="004B5A76" w14:paraId="16603B09" w14:textId="77777777" w:rsidTr="004B5A7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1531D"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2</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E6489" w14:textId="77777777" w:rsidR="004B5A76" w:rsidRPr="004B5A76" w:rsidRDefault="004B5A76">
            <w:pPr>
              <w:spacing w:after="0" w:line="240" w:lineRule="auto"/>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Использование акватории водных объектов</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3D647"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тыс. рублей за 1 кв. км используемой акватории в год</w:t>
            </w:r>
          </w:p>
        </w:tc>
      </w:tr>
      <w:tr w:rsidR="004B5A76" w:rsidRPr="004B5A76" w14:paraId="5D1C7101" w14:textId="77777777" w:rsidTr="004B5A7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58890"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2.1.</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4A9F2" w14:textId="77777777" w:rsidR="004B5A76" w:rsidRPr="004B5A76" w:rsidRDefault="004B5A76">
            <w:pPr>
              <w:spacing w:after="0" w:line="240" w:lineRule="auto"/>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бассейн р. Обь</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87425"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302,4</w:t>
            </w:r>
          </w:p>
        </w:tc>
      </w:tr>
      <w:tr w:rsidR="004B5A76" w:rsidRPr="004B5A76" w14:paraId="494BC6ED" w14:textId="77777777" w:rsidTr="004B5A7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80ABB"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2.2.</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079D5" w14:textId="77777777" w:rsidR="004B5A76" w:rsidRPr="004B5A76" w:rsidRDefault="004B5A76">
            <w:pPr>
              <w:spacing w:after="0" w:line="240" w:lineRule="auto"/>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реки бассейна Карского моря (за исключением реки Обь)</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EA84F"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320,0</w:t>
            </w:r>
          </w:p>
        </w:tc>
      </w:tr>
      <w:tr w:rsidR="004B5A76" w:rsidRPr="004B5A76" w14:paraId="2D49E415" w14:textId="77777777" w:rsidTr="004B5A7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B3EF9"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3</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BBE3B" w14:textId="77777777" w:rsidR="004B5A76" w:rsidRPr="004B5A76" w:rsidRDefault="004B5A76">
            <w:pPr>
              <w:spacing w:after="0" w:line="240" w:lineRule="auto"/>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Использование водных объектов без забора (изъятия) водных ресурсов для целей производства электрической энергии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DCD4C"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рублей за 1 тыс. кВт-ч электроэнергии</w:t>
            </w:r>
          </w:p>
        </w:tc>
      </w:tr>
      <w:tr w:rsidR="004B5A76" w:rsidRPr="004B5A76" w14:paraId="566ADF4D" w14:textId="77777777" w:rsidTr="004B5A7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FBCB2"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3.1.</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69B96" w14:textId="77777777" w:rsidR="004B5A76" w:rsidRPr="004B5A76" w:rsidRDefault="004B5A76">
            <w:pPr>
              <w:spacing w:after="0" w:line="240" w:lineRule="auto"/>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бассейн р. Обь</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B6F54"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13,53</w:t>
            </w:r>
          </w:p>
        </w:tc>
      </w:tr>
      <w:tr w:rsidR="004B5A76" w:rsidRPr="004B5A76" w14:paraId="6B5135A0" w14:textId="77777777" w:rsidTr="004B5A7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57B7E"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3.2.</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F678B" w14:textId="77777777" w:rsidR="004B5A76" w:rsidRPr="004B5A76" w:rsidRDefault="004B5A76">
            <w:pPr>
              <w:spacing w:after="0" w:line="240" w:lineRule="auto"/>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реки бассейна Карского моря (за исключением реки Обь)</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40003" w14:textId="77777777" w:rsidR="004B5A76" w:rsidRPr="004B5A76" w:rsidRDefault="004B5A76">
            <w:pPr>
              <w:spacing w:after="0" w:line="240" w:lineRule="auto"/>
              <w:jc w:val="center"/>
              <w:textAlignment w:val="baseline"/>
              <w:rPr>
                <w:rFonts w:ascii="Times New Roman" w:eastAsia="Times New Roman" w:hAnsi="Times New Roman" w:cs="Times New Roman"/>
                <w:sz w:val="24"/>
                <w:szCs w:val="24"/>
                <w:lang w:eastAsia="en-US"/>
              </w:rPr>
            </w:pPr>
            <w:r w:rsidRPr="004B5A76">
              <w:rPr>
                <w:rFonts w:ascii="Times New Roman" w:eastAsia="Times New Roman" w:hAnsi="Times New Roman" w:cs="Times New Roman"/>
                <w:sz w:val="24"/>
                <w:szCs w:val="24"/>
                <w:lang w:eastAsia="en-US"/>
              </w:rPr>
              <w:t>5,28</w:t>
            </w:r>
          </w:p>
        </w:tc>
      </w:tr>
    </w:tbl>
    <w:p w14:paraId="2583205B"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327D05D2" w14:textId="77777777" w:rsidR="004B5A76" w:rsidRPr="004B5A76" w:rsidRDefault="004B5A76" w:rsidP="004B5A76">
      <w:pPr>
        <w:spacing w:after="0" w:line="240" w:lineRule="auto"/>
        <w:textAlignment w:val="baseline"/>
        <w:rPr>
          <w:rFonts w:ascii="Arial" w:eastAsia="Times New Roman" w:hAnsi="Arial" w:cs="Arial"/>
          <w:sz w:val="24"/>
          <w:szCs w:val="24"/>
        </w:rPr>
      </w:pPr>
      <w:r w:rsidRPr="004B5A76">
        <w:rPr>
          <w:rFonts w:ascii="Arial" w:eastAsia="Times New Roman" w:hAnsi="Arial" w:cs="Arial"/>
          <w:sz w:val="24"/>
          <w:szCs w:val="24"/>
        </w:rPr>
        <w:t>________________</w:t>
      </w:r>
      <w:r w:rsidRPr="004B5A76">
        <w:rPr>
          <w:rFonts w:ascii="Arial" w:eastAsia="Times New Roman" w:hAnsi="Arial" w:cs="Arial"/>
          <w:sz w:val="24"/>
          <w:szCs w:val="24"/>
        </w:rPr>
        <w:br/>
      </w:r>
    </w:p>
    <w:p w14:paraId="01551D10"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3948A523"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 xml:space="preserve">* Примечание: Ставки платы за пользование водными объектами, находящимися в собственности Ямало-Ненецкого автономного округа, с </w:t>
      </w:r>
      <w:r w:rsidRPr="004B5A76">
        <w:rPr>
          <w:rFonts w:ascii="Arial" w:eastAsia="Times New Roman" w:hAnsi="Arial" w:cs="Arial"/>
          <w:sz w:val="24"/>
          <w:szCs w:val="24"/>
        </w:rPr>
        <w:lastRenderedPageBreak/>
        <w:t>округлением до полного рубля в соответствии с действующим порядком округления применяются:</w:t>
      </w:r>
      <w:r w:rsidRPr="004B5A76">
        <w:rPr>
          <w:rFonts w:ascii="Arial" w:eastAsia="Times New Roman" w:hAnsi="Arial" w:cs="Arial"/>
          <w:sz w:val="24"/>
          <w:szCs w:val="24"/>
        </w:rPr>
        <w:br/>
      </w:r>
    </w:p>
    <w:p w14:paraId="32F3FDA4"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55565E49"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в 2019 году - с коэффициентом 2,01;</w:t>
      </w:r>
      <w:r w:rsidRPr="004B5A76">
        <w:rPr>
          <w:rFonts w:ascii="Arial" w:eastAsia="Times New Roman" w:hAnsi="Arial" w:cs="Arial"/>
          <w:sz w:val="24"/>
          <w:szCs w:val="24"/>
        </w:rPr>
        <w:br/>
      </w:r>
    </w:p>
    <w:p w14:paraId="6D6BEAF6"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6021D467"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в 2020 году - с коэффициентом 2,31;</w:t>
      </w:r>
      <w:r w:rsidRPr="004B5A76">
        <w:rPr>
          <w:rFonts w:ascii="Arial" w:eastAsia="Times New Roman" w:hAnsi="Arial" w:cs="Arial"/>
          <w:sz w:val="24"/>
          <w:szCs w:val="24"/>
        </w:rPr>
        <w:br/>
      </w:r>
    </w:p>
    <w:p w14:paraId="0CDE6922"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4B73FE8A"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в 2021 году - с коэффициентом 2,66;</w:t>
      </w:r>
      <w:r w:rsidRPr="004B5A76">
        <w:rPr>
          <w:rFonts w:ascii="Arial" w:eastAsia="Times New Roman" w:hAnsi="Arial" w:cs="Arial"/>
          <w:sz w:val="24"/>
          <w:szCs w:val="24"/>
        </w:rPr>
        <w:br/>
      </w:r>
    </w:p>
    <w:p w14:paraId="3BF8CF05"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532AD951"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в 2022 году - с коэффициентом 3,06;</w:t>
      </w:r>
      <w:r w:rsidRPr="004B5A76">
        <w:rPr>
          <w:rFonts w:ascii="Arial" w:eastAsia="Times New Roman" w:hAnsi="Arial" w:cs="Arial"/>
          <w:sz w:val="24"/>
          <w:szCs w:val="24"/>
        </w:rPr>
        <w:br/>
      </w:r>
    </w:p>
    <w:p w14:paraId="2DDFE4D9"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015B2C4E"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в 2023 году - с коэффициентом 3,52;</w:t>
      </w:r>
      <w:r w:rsidRPr="004B5A76">
        <w:rPr>
          <w:rFonts w:ascii="Arial" w:eastAsia="Times New Roman" w:hAnsi="Arial" w:cs="Arial"/>
          <w:sz w:val="24"/>
          <w:szCs w:val="24"/>
        </w:rPr>
        <w:br/>
      </w:r>
    </w:p>
    <w:p w14:paraId="21BF6D27"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47CB2937"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в 2024 году - с коэффициентом 4,05;</w:t>
      </w:r>
      <w:r w:rsidRPr="004B5A76">
        <w:rPr>
          <w:rFonts w:ascii="Arial" w:eastAsia="Times New Roman" w:hAnsi="Arial" w:cs="Arial"/>
          <w:sz w:val="24"/>
          <w:szCs w:val="24"/>
        </w:rPr>
        <w:br/>
      </w:r>
    </w:p>
    <w:p w14:paraId="57F9033A"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06FD9AF2"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в 2025 году - с коэффициентом 4,65;</w:t>
      </w:r>
      <w:r w:rsidRPr="004B5A76">
        <w:rPr>
          <w:rFonts w:ascii="Arial" w:eastAsia="Times New Roman" w:hAnsi="Arial" w:cs="Arial"/>
          <w:sz w:val="24"/>
          <w:szCs w:val="24"/>
        </w:rPr>
        <w:br/>
      </w:r>
    </w:p>
    <w:p w14:paraId="4A2DE558"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5DC439FB"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начиная с 2026 года с коэффициентом, определенным в соответствии с настоящим пунктом для года, предшествующего году платежного периода, умноженным на коэффициент, учитывающий фактическое изменение (в среднем за год) потребительских цен на товары (работы, услуги) в Российской Федерации, определенный Министерством экономического развития Российской Федерации в соответствии с данными государственной статистической отчетности для второго по порядку года, предшествующего году платежного периода.</w:t>
      </w:r>
      <w:r w:rsidRPr="004B5A76">
        <w:rPr>
          <w:rFonts w:ascii="Arial" w:eastAsia="Times New Roman" w:hAnsi="Arial" w:cs="Arial"/>
          <w:sz w:val="24"/>
          <w:szCs w:val="24"/>
        </w:rPr>
        <w:br/>
      </w:r>
    </w:p>
    <w:p w14:paraId="4BF14A4B"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02BBFF9C"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2. Ставка платы за забор (изъятие) водных ресурсов из водных объектов для питьевого и хозяйственно-бытового водоснабжения населения за 1 тыс. куб. м водных ресурсов, забранных (изъятых) из водного объекта, с округлением до полного рубля в соответствии с действующим порядком округления:</w:t>
      </w:r>
      <w:r w:rsidRPr="004B5A76">
        <w:rPr>
          <w:rFonts w:ascii="Arial" w:eastAsia="Times New Roman" w:hAnsi="Arial" w:cs="Arial"/>
          <w:sz w:val="24"/>
          <w:szCs w:val="24"/>
        </w:rPr>
        <w:br/>
      </w:r>
    </w:p>
    <w:p w14:paraId="0149A76B"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01A859A4"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с 1 января 2019 г. по 31 декабря 2019 г. составляет 141 рубль;</w:t>
      </w:r>
      <w:r w:rsidRPr="004B5A76">
        <w:rPr>
          <w:rFonts w:ascii="Arial" w:eastAsia="Times New Roman" w:hAnsi="Arial" w:cs="Arial"/>
          <w:sz w:val="24"/>
          <w:szCs w:val="24"/>
        </w:rPr>
        <w:br/>
      </w:r>
    </w:p>
    <w:p w14:paraId="3283A1AB"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7EDDF391"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с 1 января 2020 г. по 31 декабря 2020 г. составляет 162 рубля;</w:t>
      </w:r>
      <w:r w:rsidRPr="004B5A76">
        <w:rPr>
          <w:rFonts w:ascii="Arial" w:eastAsia="Times New Roman" w:hAnsi="Arial" w:cs="Arial"/>
          <w:sz w:val="24"/>
          <w:szCs w:val="24"/>
        </w:rPr>
        <w:br/>
      </w:r>
    </w:p>
    <w:p w14:paraId="23D5FAE9"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63079296"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с 1 января 2021 г. по 31 декабря 2021 г. составляет 186 рублей;</w:t>
      </w:r>
      <w:r w:rsidRPr="004B5A76">
        <w:rPr>
          <w:rFonts w:ascii="Arial" w:eastAsia="Times New Roman" w:hAnsi="Arial" w:cs="Arial"/>
          <w:sz w:val="24"/>
          <w:szCs w:val="24"/>
        </w:rPr>
        <w:br/>
      </w:r>
    </w:p>
    <w:p w14:paraId="348F6B72"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7D19BDEA"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с 1 января 2022 г. по 31 декабря 2022 г. составляет 214 рублей;</w:t>
      </w:r>
      <w:r w:rsidRPr="004B5A76">
        <w:rPr>
          <w:rFonts w:ascii="Arial" w:eastAsia="Times New Roman" w:hAnsi="Arial" w:cs="Arial"/>
          <w:sz w:val="24"/>
          <w:szCs w:val="24"/>
        </w:rPr>
        <w:br/>
      </w:r>
    </w:p>
    <w:p w14:paraId="5F97C17A"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5BE64EBE"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lastRenderedPageBreak/>
        <w:t>с 1 января 2023 г. по 31 декабря 2023 г. составляет 246 рублей;</w:t>
      </w:r>
      <w:r w:rsidRPr="004B5A76">
        <w:rPr>
          <w:rFonts w:ascii="Arial" w:eastAsia="Times New Roman" w:hAnsi="Arial" w:cs="Arial"/>
          <w:sz w:val="24"/>
          <w:szCs w:val="24"/>
        </w:rPr>
        <w:br/>
      </w:r>
    </w:p>
    <w:p w14:paraId="2D67BEAB"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000A7254"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с 1 января 2024 г. по 31 декабря 2024 г. составляет 283 рубля;</w:t>
      </w:r>
      <w:r w:rsidRPr="004B5A76">
        <w:rPr>
          <w:rFonts w:ascii="Arial" w:eastAsia="Times New Roman" w:hAnsi="Arial" w:cs="Arial"/>
          <w:sz w:val="24"/>
          <w:szCs w:val="24"/>
        </w:rPr>
        <w:br/>
      </w:r>
    </w:p>
    <w:p w14:paraId="2BD0A994"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7F065AEB"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с 1 января 2025 г. по 31 декабря 2025 г. составляет 326 рублей;</w:t>
      </w:r>
      <w:r w:rsidRPr="004B5A76">
        <w:rPr>
          <w:rFonts w:ascii="Arial" w:eastAsia="Times New Roman" w:hAnsi="Arial" w:cs="Arial"/>
          <w:sz w:val="24"/>
          <w:szCs w:val="24"/>
        </w:rPr>
        <w:br/>
      </w:r>
    </w:p>
    <w:p w14:paraId="31DAF424"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37D4CBD7"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начиная с 2026 года определяется ежегодно путем умножения ставки платы для этого вида водопользования, действовавшей в предыдущем году, на коэффициент, учитывающий фактическое изменение (в среднем за год) потребительских цен на товары (работы, услуги) в Российской Федерации, определенный Министерством экономического развития Российской Федерации в соответствии с данными государственной статистической отчетности для второго по порядку года, предшествующего году платежного периода.</w:t>
      </w:r>
      <w:r w:rsidRPr="004B5A76">
        <w:rPr>
          <w:rFonts w:ascii="Arial" w:eastAsia="Times New Roman" w:hAnsi="Arial" w:cs="Arial"/>
          <w:sz w:val="24"/>
          <w:szCs w:val="24"/>
        </w:rPr>
        <w:br/>
      </w:r>
    </w:p>
    <w:p w14:paraId="799CCADF" w14:textId="77777777" w:rsidR="004B5A76" w:rsidRPr="004B5A76" w:rsidRDefault="004B5A76" w:rsidP="004B5A76">
      <w:pPr>
        <w:spacing w:after="240" w:line="240" w:lineRule="auto"/>
        <w:jc w:val="right"/>
        <w:textAlignment w:val="baseline"/>
        <w:outlineLvl w:val="1"/>
        <w:rPr>
          <w:rFonts w:ascii="Arial" w:eastAsia="Times New Roman" w:hAnsi="Arial" w:cs="Arial"/>
          <w:b/>
          <w:bCs/>
          <w:sz w:val="24"/>
          <w:szCs w:val="24"/>
        </w:rPr>
      </w:pPr>
      <w:r w:rsidRPr="004B5A76">
        <w:rPr>
          <w:rFonts w:ascii="Arial" w:eastAsia="Times New Roman" w:hAnsi="Arial" w:cs="Arial"/>
          <w:b/>
          <w:bCs/>
          <w:sz w:val="24"/>
          <w:szCs w:val="24"/>
        </w:rPr>
        <w:br/>
      </w:r>
      <w:r w:rsidRPr="004B5A76">
        <w:rPr>
          <w:rFonts w:ascii="Arial" w:eastAsia="Times New Roman" w:hAnsi="Arial" w:cs="Arial"/>
          <w:b/>
          <w:bCs/>
          <w:sz w:val="24"/>
          <w:szCs w:val="24"/>
        </w:rPr>
        <w:br/>
        <w:t>Приложение N 2</w:t>
      </w:r>
    </w:p>
    <w:p w14:paraId="0F1FD011" w14:textId="77777777" w:rsidR="004B5A76" w:rsidRPr="004B5A76" w:rsidRDefault="004B5A76" w:rsidP="004B5A76">
      <w:pPr>
        <w:spacing w:after="0" w:line="240" w:lineRule="auto"/>
        <w:jc w:val="right"/>
        <w:textAlignment w:val="baseline"/>
        <w:rPr>
          <w:rFonts w:ascii="Arial" w:eastAsia="Times New Roman" w:hAnsi="Arial" w:cs="Arial"/>
          <w:sz w:val="24"/>
          <w:szCs w:val="24"/>
        </w:rPr>
      </w:pPr>
      <w:r w:rsidRPr="004B5A76">
        <w:rPr>
          <w:rFonts w:ascii="Arial" w:eastAsia="Times New Roman" w:hAnsi="Arial" w:cs="Arial"/>
          <w:sz w:val="24"/>
          <w:szCs w:val="24"/>
        </w:rPr>
        <w:br/>
      </w:r>
      <w:r w:rsidRPr="004B5A76">
        <w:rPr>
          <w:rFonts w:ascii="Arial" w:eastAsia="Times New Roman" w:hAnsi="Arial" w:cs="Arial"/>
          <w:sz w:val="24"/>
          <w:szCs w:val="24"/>
        </w:rPr>
        <w:br/>
        <w:t>Утверждены</w:t>
      </w:r>
      <w:r w:rsidRPr="004B5A76">
        <w:rPr>
          <w:rFonts w:ascii="Arial" w:eastAsia="Times New Roman" w:hAnsi="Arial" w:cs="Arial"/>
          <w:sz w:val="24"/>
          <w:szCs w:val="24"/>
        </w:rPr>
        <w:br/>
        <w:t>приказом департамента природно-ресурсного</w:t>
      </w:r>
      <w:r w:rsidRPr="004B5A76">
        <w:rPr>
          <w:rFonts w:ascii="Arial" w:eastAsia="Times New Roman" w:hAnsi="Arial" w:cs="Arial"/>
          <w:sz w:val="24"/>
          <w:szCs w:val="24"/>
        </w:rPr>
        <w:br/>
        <w:t>регулирования, лесных отношений</w:t>
      </w:r>
      <w:r w:rsidRPr="004B5A76">
        <w:rPr>
          <w:rFonts w:ascii="Arial" w:eastAsia="Times New Roman" w:hAnsi="Arial" w:cs="Arial"/>
          <w:sz w:val="24"/>
          <w:szCs w:val="24"/>
        </w:rPr>
        <w:br/>
        <w:t>и развития нефтегазового комплекса</w:t>
      </w:r>
      <w:r w:rsidRPr="004B5A76">
        <w:rPr>
          <w:rFonts w:ascii="Arial" w:eastAsia="Times New Roman" w:hAnsi="Arial" w:cs="Arial"/>
          <w:sz w:val="24"/>
          <w:szCs w:val="24"/>
        </w:rPr>
        <w:br/>
        <w:t>Ямало-Ненецкого автономного округа</w:t>
      </w:r>
      <w:r w:rsidRPr="004B5A76">
        <w:rPr>
          <w:rFonts w:ascii="Arial" w:eastAsia="Times New Roman" w:hAnsi="Arial" w:cs="Arial"/>
          <w:sz w:val="24"/>
          <w:szCs w:val="24"/>
        </w:rPr>
        <w:br/>
        <w:t>от 1 марта 2019 года N 694</w:t>
      </w:r>
    </w:p>
    <w:p w14:paraId="527DC3D0" w14:textId="77777777" w:rsidR="004B5A76" w:rsidRPr="004B5A76" w:rsidRDefault="004B5A76" w:rsidP="004B5A76">
      <w:pPr>
        <w:spacing w:after="240" w:line="240" w:lineRule="auto"/>
        <w:jc w:val="center"/>
        <w:textAlignment w:val="baseline"/>
        <w:rPr>
          <w:rFonts w:ascii="Arial" w:eastAsia="Times New Roman" w:hAnsi="Arial" w:cs="Arial"/>
          <w:b/>
          <w:bCs/>
          <w:sz w:val="24"/>
          <w:szCs w:val="24"/>
        </w:rPr>
      </w:pPr>
      <w:r w:rsidRPr="004B5A76">
        <w:rPr>
          <w:rFonts w:ascii="Arial" w:eastAsia="Times New Roman" w:hAnsi="Arial" w:cs="Arial"/>
          <w:b/>
          <w:bCs/>
          <w:sz w:val="24"/>
          <w:szCs w:val="24"/>
        </w:rPr>
        <w:br/>
      </w:r>
      <w:r w:rsidRPr="004B5A76">
        <w:rPr>
          <w:rFonts w:ascii="Arial" w:eastAsia="Times New Roman" w:hAnsi="Arial" w:cs="Arial"/>
          <w:b/>
          <w:bCs/>
          <w:sz w:val="24"/>
          <w:szCs w:val="24"/>
        </w:rPr>
        <w:br/>
        <w:t>ПРАВИЛА РАСЧЕТА И ВЗИМАНИЯ ПЛАТЫ ЗА ПОЛЬЗОВАНИЕ ВОДНЫМИ ОБЪЕКТАМИ, НАХОДЯЩИМИСЯ В СОБСТВЕННОСТИ ЯМАЛО-НЕНЕЦКОГО АВТОНОМНОГО ОКРУГА</w:t>
      </w:r>
    </w:p>
    <w:p w14:paraId="3DCDDFC6" w14:textId="77777777" w:rsidR="004B5A76" w:rsidRPr="004B5A76" w:rsidRDefault="004B5A76" w:rsidP="004B5A76">
      <w:pPr>
        <w:spacing w:after="0" w:line="240" w:lineRule="auto"/>
        <w:jc w:val="center"/>
        <w:textAlignment w:val="baseline"/>
        <w:rPr>
          <w:rFonts w:ascii="Arial" w:eastAsia="Times New Roman" w:hAnsi="Arial" w:cs="Arial"/>
          <w:sz w:val="24"/>
          <w:szCs w:val="24"/>
        </w:rPr>
      </w:pPr>
      <w:r w:rsidRPr="004B5A76">
        <w:rPr>
          <w:rFonts w:ascii="Arial" w:eastAsia="Times New Roman" w:hAnsi="Arial" w:cs="Arial"/>
          <w:sz w:val="24"/>
          <w:szCs w:val="24"/>
        </w:rPr>
        <w:t>(в ред. приказа Департамента природно-ресурсного регулирования, лесных отношений и развития нефтегазового комплекса ЯНАО от 12.08.2019 N 3059)</w:t>
      </w:r>
    </w:p>
    <w:p w14:paraId="1E0E8746" w14:textId="77777777" w:rsidR="004B5A76" w:rsidRPr="004B5A76" w:rsidRDefault="004B5A76" w:rsidP="004B5A76">
      <w:pPr>
        <w:spacing w:after="0" w:line="240" w:lineRule="auto"/>
        <w:textAlignment w:val="baseline"/>
        <w:rPr>
          <w:rFonts w:ascii="Arial" w:eastAsia="Times New Roman" w:hAnsi="Arial" w:cs="Arial"/>
          <w:sz w:val="24"/>
          <w:szCs w:val="24"/>
        </w:rPr>
      </w:pPr>
      <w:r w:rsidRPr="004B5A76">
        <w:rPr>
          <w:rFonts w:ascii="Arial" w:eastAsia="Times New Roman" w:hAnsi="Arial" w:cs="Arial"/>
          <w:sz w:val="24"/>
          <w:szCs w:val="24"/>
        </w:rPr>
        <w:br/>
      </w:r>
    </w:p>
    <w:p w14:paraId="2E6841D3"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1. Настоящие Правила устанавливают порядок расчета и взимания платы за пользование водными объектами, находящимися в собственности Ямало-Ненецкого автономного округа (далее - плата), предоставляемыми на основании договоров водопользования для:</w:t>
      </w:r>
      <w:r w:rsidRPr="004B5A76">
        <w:rPr>
          <w:rFonts w:ascii="Arial" w:eastAsia="Times New Roman" w:hAnsi="Arial" w:cs="Arial"/>
          <w:sz w:val="24"/>
          <w:szCs w:val="24"/>
        </w:rPr>
        <w:br/>
      </w:r>
    </w:p>
    <w:p w14:paraId="70B21ABC"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7BB88B64"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 забора (изъятия) водных ресурсов из водных объектов в соответствии с частью 3 статьи 38 Водного кодекса Российской Федерации;</w:t>
      </w:r>
      <w:r w:rsidRPr="004B5A76">
        <w:rPr>
          <w:rFonts w:ascii="Arial" w:eastAsia="Times New Roman" w:hAnsi="Arial" w:cs="Arial"/>
          <w:sz w:val="24"/>
          <w:szCs w:val="24"/>
        </w:rPr>
        <w:br/>
      </w:r>
    </w:p>
    <w:p w14:paraId="71C86726"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302A0555"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 использования акватории водных объектов, если иное не предусмотрено частями 3 и 4 статьи 11 Водного кодекса Российской Федерации;</w:t>
      </w:r>
      <w:r w:rsidRPr="004B5A76">
        <w:rPr>
          <w:rFonts w:ascii="Arial" w:eastAsia="Times New Roman" w:hAnsi="Arial" w:cs="Arial"/>
          <w:sz w:val="24"/>
          <w:szCs w:val="24"/>
        </w:rPr>
        <w:br/>
      </w:r>
    </w:p>
    <w:p w14:paraId="571B5057"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4DE5F7DD"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lastRenderedPageBreak/>
        <w:t>(в ред. приказа Департамента природно-ресурсного регулирования, лесных отношений и развития нефтегазового комплекса ЯНАО от 12.08.2019 N 3059)</w:t>
      </w:r>
      <w:r w:rsidRPr="004B5A76">
        <w:rPr>
          <w:rFonts w:ascii="Arial" w:eastAsia="Times New Roman" w:hAnsi="Arial" w:cs="Arial"/>
          <w:sz w:val="24"/>
          <w:szCs w:val="24"/>
        </w:rPr>
        <w:br/>
      </w:r>
    </w:p>
    <w:p w14:paraId="0A62C676"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0A6442EF"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 производства электрической энергии без забора (изъятия) водных ресурсов из водных объектов.</w:t>
      </w:r>
      <w:r w:rsidRPr="004B5A76">
        <w:rPr>
          <w:rFonts w:ascii="Arial" w:eastAsia="Times New Roman" w:hAnsi="Arial" w:cs="Arial"/>
          <w:sz w:val="24"/>
          <w:szCs w:val="24"/>
        </w:rPr>
        <w:br/>
      </w:r>
    </w:p>
    <w:p w14:paraId="436888CA"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1C548F8B"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2. Плата устанавливается на основе следующих принципов:</w:t>
      </w:r>
      <w:r w:rsidRPr="004B5A76">
        <w:rPr>
          <w:rFonts w:ascii="Arial" w:eastAsia="Times New Roman" w:hAnsi="Arial" w:cs="Arial"/>
          <w:sz w:val="24"/>
          <w:szCs w:val="24"/>
        </w:rPr>
        <w:br/>
      </w:r>
    </w:p>
    <w:p w14:paraId="73137905"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4D16B77E"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 стимулирование экономного использования водных ресурсов, а также охраны водных объектов;</w:t>
      </w:r>
      <w:r w:rsidRPr="004B5A76">
        <w:rPr>
          <w:rFonts w:ascii="Arial" w:eastAsia="Times New Roman" w:hAnsi="Arial" w:cs="Arial"/>
          <w:sz w:val="24"/>
          <w:szCs w:val="24"/>
        </w:rPr>
        <w:br/>
      </w:r>
    </w:p>
    <w:p w14:paraId="7B8A2E38"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7F1C0530"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 дифференциация ставок платы в зависимости от речного бассейна;</w:t>
      </w:r>
      <w:r w:rsidRPr="004B5A76">
        <w:rPr>
          <w:rFonts w:ascii="Arial" w:eastAsia="Times New Roman" w:hAnsi="Arial" w:cs="Arial"/>
          <w:sz w:val="24"/>
          <w:szCs w:val="24"/>
        </w:rPr>
        <w:br/>
      </w:r>
    </w:p>
    <w:p w14:paraId="71000389"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28949DC6"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 равномерность поступления платы в течение финансового года.</w:t>
      </w:r>
      <w:r w:rsidRPr="004B5A76">
        <w:rPr>
          <w:rFonts w:ascii="Arial" w:eastAsia="Times New Roman" w:hAnsi="Arial" w:cs="Arial"/>
          <w:sz w:val="24"/>
          <w:szCs w:val="24"/>
        </w:rPr>
        <w:br/>
      </w:r>
    </w:p>
    <w:p w14:paraId="68758A45"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00467501"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3. Платежным периодом признается квартал.</w:t>
      </w:r>
      <w:r w:rsidRPr="004B5A76">
        <w:rPr>
          <w:rFonts w:ascii="Arial" w:eastAsia="Times New Roman" w:hAnsi="Arial" w:cs="Arial"/>
          <w:sz w:val="24"/>
          <w:szCs w:val="24"/>
        </w:rPr>
        <w:br/>
      </w:r>
    </w:p>
    <w:p w14:paraId="2A03451D"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5A7F2148"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4. Расчет размера платы, предусматриваемой договором водопользования, производят физические и юридические лица, индивидуальные предприниматели, приобретающие право пользования поверхностными водными объектами или их частями (далее - плательщики, водопользователи).</w:t>
      </w:r>
      <w:r w:rsidRPr="004B5A76">
        <w:rPr>
          <w:rFonts w:ascii="Arial" w:eastAsia="Times New Roman" w:hAnsi="Arial" w:cs="Arial"/>
          <w:sz w:val="24"/>
          <w:szCs w:val="24"/>
        </w:rPr>
        <w:br/>
      </w:r>
    </w:p>
    <w:p w14:paraId="5A2CB4C6"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0020062C"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4.1. Размер платы определяется как произведение платежной базы и соответствующей ей ставки платы.</w:t>
      </w:r>
      <w:r w:rsidRPr="004B5A76">
        <w:rPr>
          <w:rFonts w:ascii="Arial" w:eastAsia="Times New Roman" w:hAnsi="Arial" w:cs="Arial"/>
          <w:sz w:val="24"/>
          <w:szCs w:val="24"/>
        </w:rPr>
        <w:br/>
      </w:r>
    </w:p>
    <w:p w14:paraId="67996B39"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03B34E1E"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4.2. Объем забора (изъятия) водных ресурсов из водного объекта определяется на основании показаний водоизмерительных приборов, отражаемых в журнале первичного учета использования воды.</w:t>
      </w:r>
      <w:r w:rsidRPr="004B5A76">
        <w:rPr>
          <w:rFonts w:ascii="Arial" w:eastAsia="Times New Roman" w:hAnsi="Arial" w:cs="Arial"/>
          <w:sz w:val="24"/>
          <w:szCs w:val="24"/>
        </w:rPr>
        <w:br/>
      </w:r>
    </w:p>
    <w:p w14:paraId="10C87FB0"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76D72B8C"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4.3. В случае отсутствия водоизмерительных приборов объем забранной (изъятой) воды определяется исходя из времени работы и производительности технических средств, при этом к ставке платы за забор (изъятие) водных ресурсов применяется коэффициент 1,1.</w:t>
      </w:r>
      <w:r w:rsidRPr="004B5A76">
        <w:rPr>
          <w:rFonts w:ascii="Arial" w:eastAsia="Times New Roman" w:hAnsi="Arial" w:cs="Arial"/>
          <w:sz w:val="24"/>
          <w:szCs w:val="24"/>
        </w:rPr>
        <w:br/>
      </w:r>
    </w:p>
    <w:p w14:paraId="37AE84EF"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3D2E8E08"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5. Платежная база устанавливается в договоре водопользования по каждому виду пользования водными объектами и определяется отдельно в отношении каждого водного объекта или его части.</w:t>
      </w:r>
      <w:r w:rsidRPr="004B5A76">
        <w:rPr>
          <w:rFonts w:ascii="Arial" w:eastAsia="Times New Roman" w:hAnsi="Arial" w:cs="Arial"/>
          <w:sz w:val="24"/>
          <w:szCs w:val="24"/>
        </w:rPr>
        <w:br/>
      </w:r>
    </w:p>
    <w:p w14:paraId="3E0B8E24"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5C58CE9F"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6. Платежной базой является:</w:t>
      </w:r>
      <w:r w:rsidRPr="004B5A76">
        <w:rPr>
          <w:rFonts w:ascii="Arial" w:eastAsia="Times New Roman" w:hAnsi="Arial" w:cs="Arial"/>
          <w:sz w:val="24"/>
          <w:szCs w:val="24"/>
        </w:rPr>
        <w:br/>
      </w:r>
    </w:p>
    <w:p w14:paraId="55FB97E8"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2FFF7992"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 для плательщиков, осуществляющих забор (изъятие) водных ресурсов из водных объектов или их частей, - объем допустимого забора (изъятия) водных ресурсов, включая объем их забора (изъятия) для передачи абонентам, за платежный период;</w:t>
      </w:r>
      <w:r w:rsidRPr="004B5A76">
        <w:rPr>
          <w:rFonts w:ascii="Arial" w:eastAsia="Times New Roman" w:hAnsi="Arial" w:cs="Arial"/>
          <w:sz w:val="24"/>
          <w:szCs w:val="24"/>
        </w:rPr>
        <w:br/>
      </w:r>
    </w:p>
    <w:p w14:paraId="76E7AB28"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309E048F"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 для плательщиков, использующих водные объекты или их части без забора (изъятия) водных ресурсов для целей производства электрической энергии, - количество производимой электроэнергии за платежный период;</w:t>
      </w:r>
      <w:r w:rsidRPr="004B5A76">
        <w:rPr>
          <w:rFonts w:ascii="Arial" w:eastAsia="Times New Roman" w:hAnsi="Arial" w:cs="Arial"/>
          <w:sz w:val="24"/>
          <w:szCs w:val="24"/>
        </w:rPr>
        <w:br/>
      </w:r>
    </w:p>
    <w:p w14:paraId="3921B27F"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5CC99617"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 для плательщиков, использующих акватории водных объектов или их частей, площадь предоставленной акватории водного объекта или его части.</w:t>
      </w:r>
      <w:r w:rsidRPr="004B5A76">
        <w:rPr>
          <w:rFonts w:ascii="Arial" w:eastAsia="Times New Roman" w:hAnsi="Arial" w:cs="Arial"/>
          <w:sz w:val="24"/>
          <w:szCs w:val="24"/>
        </w:rPr>
        <w:br/>
      </w:r>
    </w:p>
    <w:p w14:paraId="3C8FD609"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7512DD66"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7. В соответствии с условиями договора водопользования при уменьшении объема забора (изъятия) водных ресурсов из водных объектов или их частей, при уменьшении (увеличении) количества произведенной электроэнергии по сравнению со значениями, установленными договором водопользования, плательщики производят перерасчет размера платы.</w:t>
      </w:r>
      <w:r w:rsidRPr="004B5A76">
        <w:rPr>
          <w:rFonts w:ascii="Arial" w:eastAsia="Times New Roman" w:hAnsi="Arial" w:cs="Arial"/>
          <w:sz w:val="24"/>
          <w:szCs w:val="24"/>
        </w:rPr>
        <w:br/>
      </w:r>
    </w:p>
    <w:p w14:paraId="6FC492DB"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6342BEB0"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Перерасчет производится по окончании соответствующего платежного периода.</w:t>
      </w:r>
      <w:r w:rsidRPr="004B5A76">
        <w:rPr>
          <w:rFonts w:ascii="Arial" w:eastAsia="Times New Roman" w:hAnsi="Arial" w:cs="Arial"/>
          <w:sz w:val="24"/>
          <w:szCs w:val="24"/>
        </w:rPr>
        <w:br/>
      </w:r>
    </w:p>
    <w:p w14:paraId="129A4BC5"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44597246"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8. При перерасчете размера платы фактическая платежная база рассчитывается как:</w:t>
      </w:r>
      <w:r w:rsidRPr="004B5A76">
        <w:rPr>
          <w:rFonts w:ascii="Arial" w:eastAsia="Times New Roman" w:hAnsi="Arial" w:cs="Arial"/>
          <w:sz w:val="24"/>
          <w:szCs w:val="24"/>
        </w:rPr>
        <w:br/>
      </w:r>
    </w:p>
    <w:p w14:paraId="3681B9A0"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29BB12EE"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 фактический объем забора (изъятия) водных ресурсов из водного объекта или его части, определяемый на основании показаний водоизмерительных приборов, отражаемых в журнале первичного учета использования воды. В случае отсутствия водоизмерительных приборов объем забранной воды определяется исходя из времени работы и производительности технических средств. В случае невозможности определения объема забранной воды исходя из времени работы и производительности технических средств объем забранной воды определяется исходя из норм водопотребления или с помощью других методов на условиях и в порядке, которые установлены в договоре водопользования;</w:t>
      </w:r>
      <w:r w:rsidRPr="004B5A76">
        <w:rPr>
          <w:rFonts w:ascii="Arial" w:eastAsia="Times New Roman" w:hAnsi="Arial" w:cs="Arial"/>
          <w:sz w:val="24"/>
          <w:szCs w:val="24"/>
        </w:rPr>
        <w:br/>
      </w:r>
    </w:p>
    <w:p w14:paraId="08D20C35"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7D2AF543"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 фактическое количество произведенной электроэнергии, определяемое на основании данных контрольно-измерительной аппаратуры или с помощью других методов на условиях и в порядке, которые установлены в договоре водопользования.</w:t>
      </w:r>
      <w:r w:rsidRPr="004B5A76">
        <w:rPr>
          <w:rFonts w:ascii="Arial" w:eastAsia="Times New Roman" w:hAnsi="Arial" w:cs="Arial"/>
          <w:sz w:val="24"/>
          <w:szCs w:val="24"/>
        </w:rPr>
        <w:br/>
      </w:r>
    </w:p>
    <w:p w14:paraId="74100B64"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2691E581"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 xml:space="preserve">9. Перерасчет размера платы за пользование водным объектом исходя из фактической платежной базы производится на основании дополнительного соглашения к договору водопользования. Основанием для заключения дополнительного соглашения является поступление заявления водопользователя </w:t>
      </w:r>
      <w:r w:rsidRPr="004B5A76">
        <w:rPr>
          <w:rFonts w:ascii="Arial" w:eastAsia="Times New Roman" w:hAnsi="Arial" w:cs="Arial"/>
          <w:sz w:val="24"/>
          <w:szCs w:val="24"/>
        </w:rPr>
        <w:lastRenderedPageBreak/>
        <w:t>об изменении условий договора водопользования.</w:t>
      </w:r>
      <w:r w:rsidRPr="004B5A76">
        <w:rPr>
          <w:rFonts w:ascii="Arial" w:eastAsia="Times New Roman" w:hAnsi="Arial" w:cs="Arial"/>
          <w:sz w:val="24"/>
          <w:szCs w:val="24"/>
        </w:rPr>
        <w:br/>
      </w:r>
    </w:p>
    <w:p w14:paraId="461E482D"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12C3B6AD"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10. Плата вносится по месту пользования водным объектом или его частью не позднее 20-го числа месяца, следующего за истекшим платежным периодом.</w:t>
      </w:r>
      <w:r w:rsidRPr="004B5A76">
        <w:rPr>
          <w:rFonts w:ascii="Arial" w:eastAsia="Times New Roman" w:hAnsi="Arial" w:cs="Arial"/>
          <w:sz w:val="24"/>
          <w:szCs w:val="24"/>
        </w:rPr>
        <w:br/>
      </w:r>
    </w:p>
    <w:p w14:paraId="7943B388"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354B5A73"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11. Плата подлежит зачислению в окружной бюджет Ямало-Ненецкого автономного округа.</w:t>
      </w:r>
      <w:r w:rsidRPr="004B5A76">
        <w:rPr>
          <w:rFonts w:ascii="Arial" w:eastAsia="Times New Roman" w:hAnsi="Arial" w:cs="Arial"/>
          <w:sz w:val="24"/>
          <w:szCs w:val="24"/>
        </w:rPr>
        <w:br/>
      </w:r>
    </w:p>
    <w:p w14:paraId="26D9B2F0"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08B26DC5"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12. Плата зачисляется по реквизитам и в соответствии с расчетом размера платы, указанного в договоре водопользования.</w:t>
      </w:r>
      <w:r w:rsidRPr="004B5A76">
        <w:rPr>
          <w:rFonts w:ascii="Arial" w:eastAsia="Times New Roman" w:hAnsi="Arial" w:cs="Arial"/>
          <w:sz w:val="24"/>
          <w:szCs w:val="24"/>
        </w:rPr>
        <w:br/>
      </w:r>
    </w:p>
    <w:p w14:paraId="4029C41B" w14:textId="77777777" w:rsidR="004B5A76" w:rsidRPr="004B5A76" w:rsidRDefault="004B5A76" w:rsidP="004B5A76">
      <w:pPr>
        <w:spacing w:after="0" w:line="240" w:lineRule="auto"/>
        <w:textAlignment w:val="baseline"/>
        <w:rPr>
          <w:rFonts w:ascii="Arial" w:eastAsia="Times New Roman" w:hAnsi="Arial" w:cs="Arial"/>
          <w:sz w:val="24"/>
          <w:szCs w:val="24"/>
        </w:rPr>
      </w:pPr>
    </w:p>
    <w:p w14:paraId="1D5519BA" w14:textId="77777777" w:rsidR="004B5A76" w:rsidRPr="004B5A76" w:rsidRDefault="004B5A76" w:rsidP="004B5A76">
      <w:pPr>
        <w:spacing w:after="0" w:line="240" w:lineRule="auto"/>
        <w:ind w:firstLine="480"/>
        <w:textAlignment w:val="baseline"/>
        <w:rPr>
          <w:rFonts w:ascii="Arial" w:eastAsia="Times New Roman" w:hAnsi="Arial" w:cs="Arial"/>
          <w:sz w:val="24"/>
          <w:szCs w:val="24"/>
        </w:rPr>
      </w:pPr>
      <w:r w:rsidRPr="004B5A76">
        <w:rPr>
          <w:rFonts w:ascii="Arial" w:eastAsia="Times New Roman" w:hAnsi="Arial" w:cs="Arial"/>
          <w:sz w:val="24"/>
          <w:szCs w:val="24"/>
        </w:rPr>
        <w:t>13. Копию платежного поручения о перечислении платы водопользователь (плательщик) направляет в департамент природно-ресурсного регулирования, лесных отношений и развития нефтегазового комплекса Ямало-Ненецкого автономного округа в сроки, установленные для внесения платы за пользование водными объектами, способами, позволяющими подтвердить факт его получения.</w:t>
      </w:r>
    </w:p>
    <w:p w14:paraId="64C8A6D8" w14:textId="77777777" w:rsidR="004B5A76" w:rsidRPr="004B5A76" w:rsidRDefault="004B5A76" w:rsidP="004B5A76"/>
    <w:p w14:paraId="2BB09752" w14:textId="77777777" w:rsidR="00B02B9E" w:rsidRPr="004B5A76"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B5A76"/>
    <w:pPr>
      <w:spacing w:line="254"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