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51CD">
        <w:rPr>
          <w:rFonts w:ascii="Times New Roman" w:hAnsi="Times New Roman" w:cs="Times New Roman"/>
          <w:b/>
          <w:sz w:val="24"/>
          <w:szCs w:val="24"/>
        </w:rPr>
        <w:t>ОБ УСТАНОВЛЕНИИ НОРМ ДОБЫЧИ ОХОТНИЧЬИХ РЕСУРСОВ В ПЕРИОДЫ ЛЕТНЕ-ОСЕННЕЙ ОХОТЫ 2017 ГОДА И ОСЕННЕ-ЗИМНЕЙ ОХОТЫ 2017-2018 ГОДОВ НА ТЕРРИТОРИИ РЕСПУБЛИКИ ДАГЕСТАН</w:t>
      </w: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ПРАВИТЕЛЬСТВО РЕСПУБЛИКИ ДАГЕСТАН</w:t>
      </w: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от 18 августа 2017 года N 293-р</w:t>
      </w: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[ОБ УСТАНОВЛЕНИИ НОРМ ДОБЫЧИ ОХОТНИЧЬИХ РЕСУРСОВ В ПЕРИОДЫ ЛЕТНЕ-ОСЕННЕЙ ОХОТЫ 2017 ГОДА И ОСЕННЕ-ЗИМНЕЙ ОХОТЫ 2017-2018 ГОДОВ НА ТЕРРИТОРИИ РЕСПУБЛИКИ ДАГЕСТАН]</w:t>
      </w:r>
    </w:p>
    <w:p w:rsidR="00C051CD" w:rsidRPr="00C051CD" w:rsidRDefault="00C051CD" w:rsidP="00C051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В соответствии с Законом Республики Дагестан от 5 октября 2012 года N 64 "О регулировании отдельных отношений в области охоты и сохранения охотничьих ресурсов на территории Республики Дагестан":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1. Утвердить на территории закрепленных и общедоступных охотничьих угодий Республики Дагестан норму добычи дикого кабана на 1 разрешение в период летне-осенней охоты 2017 года (кроме самок с приплодом текущего года) и осенне-зимней охоты 2017-2018 годов в количестве 1 особи на 1 разрешение.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2. Утвердить на территории закрепленных и общедоступных охотничьих угодий Республики Дагестан суточную норму добычи пернатой дичи на 1 разрешение в период летне-осенней охоты 2017 года: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суммарно различных видов полевой и степной дичи в количестве не более 10 особей на 1 охотника за сутки (в том числе: серой куропатки - не более 3 особей, голубей и горлиц - не более 10 особей, перепела - не более 3 особей);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суммарно различных видов болотно-луговой дичи в количестве не более 10 особей на 1 разрешение;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суммарно различных видов водоплавающей дичи в количестве не более 10 особей на 1 разрешение (в том числе: гусей - не более 2 особей, уток - не более 10 особей, лысухи - не более 10 особей);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 xml:space="preserve">суммарно различных видов боровой и горной дичи в количестве не более 5 особей на 1 разрешение (в том числе: вальдшнепа - не более 2 особей, </w:t>
      </w:r>
      <w:proofErr w:type="spellStart"/>
      <w:r w:rsidRPr="00C051CD">
        <w:rPr>
          <w:rFonts w:ascii="Times New Roman" w:hAnsi="Times New Roman" w:cs="Times New Roman"/>
          <w:sz w:val="24"/>
          <w:szCs w:val="24"/>
        </w:rPr>
        <w:t>кеклика</w:t>
      </w:r>
      <w:proofErr w:type="spellEnd"/>
      <w:r w:rsidRPr="00C051CD">
        <w:rPr>
          <w:rFonts w:ascii="Times New Roman" w:hAnsi="Times New Roman" w:cs="Times New Roman"/>
          <w:sz w:val="24"/>
          <w:szCs w:val="24"/>
        </w:rPr>
        <w:t xml:space="preserve"> - не более 3 особей).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lastRenderedPageBreak/>
        <w:t>3. Утвердить суточную (в количестве 1 особи за сутки) и сезонную норму добычи фазана и улара на 1 разрешение в период летне-осенней охоты 2017 года и осенне-зимней охоты 2017-2018 годов в количестве по 7 особей за сезон охоты,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4. Утвердить суточную норму добычи пушных видов: заяц-русак - 1 особь на 1 разрешение за сутки охоты. Норму добычи на волка, шакала, лисицу, корсака, енотовидную собаку, добываемых в целях любительской и спортивной охоты в период осенне-зимней охоты 2017-2018 годов на территории закрепленных и общедоступных охотничьих угодий Республики Дагестан, установить без ограничения суточной нормы добычи.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5. Утвердить сезонную норму добычи ондатры в целях промысловой охоты в количестве 100 особей на 1 разрешение.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6. Контроль за исполнением настоящего распоряжения возложить на Министерство природных ресурсов и экологии Республики Дагестан.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7. Настоящее распоряжение вступает в силу с 18 августа 2017 года.</w:t>
      </w:r>
    </w:p>
    <w:p w:rsidR="00C051CD" w:rsidRPr="00C051CD" w:rsidRDefault="00C051CD" w:rsidP="00C051C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51CD" w:rsidRPr="00C051CD" w:rsidRDefault="00C051CD" w:rsidP="00C051C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C051CD" w:rsidRPr="00C051CD" w:rsidRDefault="00C051CD" w:rsidP="00C051C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8739E5" w:rsidRPr="004411EF" w:rsidRDefault="00C051CD" w:rsidP="00C051C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051CD">
        <w:rPr>
          <w:rFonts w:ascii="Times New Roman" w:hAnsi="Times New Roman" w:cs="Times New Roman"/>
          <w:sz w:val="24"/>
          <w:szCs w:val="24"/>
        </w:rPr>
        <w:t>А.ГАМИДОВ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edc75d0adc242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