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792D9E" w:rsidRPr="00792D9E" w:rsidRDefault="00792D9E" w:rsidP="00792D9E">
      <w:pPr>
        <w:jc w:val="center"/>
        <w:rPr>
          <w:rFonts w:ascii="Times New Roman" w:hAnsi="Times New Roman" w:cs="Times New Roman"/>
          <w:b/>
          <w:sz w:val="24"/>
          <w:szCs w:val="24"/>
        </w:rPr>
      </w:pPr>
      <w:r w:rsidRPr="00792D9E">
        <w:rPr>
          <w:rFonts w:ascii="Times New Roman" w:hAnsi="Times New Roman" w:cs="Times New Roman"/>
          <w:b/>
          <w:sz w:val="24"/>
          <w:szCs w:val="24"/>
        </w:rPr>
        <w:t>О ПРАВИЛАХ ДОБЫЧИ ОБЪЕКТОВ ЖИВОТНОГО МИРА, ЗАНЕСЕННЫХ В КРАСНУЮ КНИГУ КАБАРДИНО-БАЛКАРСКОЙ РЕСПУБЛИКИ</w:t>
      </w:r>
    </w:p>
    <w:p w:rsidR="00792D9E" w:rsidRPr="00792D9E" w:rsidRDefault="00792D9E" w:rsidP="00792D9E">
      <w:pPr>
        <w:jc w:val="center"/>
        <w:rPr>
          <w:rFonts w:ascii="Times New Roman" w:hAnsi="Times New Roman" w:cs="Times New Roman"/>
          <w:b/>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 xml:space="preserve"> </w:t>
      </w:r>
    </w:p>
    <w:p w:rsidR="00792D9E" w:rsidRPr="00792D9E" w:rsidRDefault="00792D9E" w:rsidP="00792D9E">
      <w:pPr>
        <w:jc w:val="center"/>
        <w:rPr>
          <w:rFonts w:ascii="Times New Roman" w:hAnsi="Times New Roman" w:cs="Times New Roman"/>
          <w:sz w:val="24"/>
          <w:szCs w:val="24"/>
        </w:rPr>
      </w:pPr>
      <w:r w:rsidRPr="00792D9E">
        <w:rPr>
          <w:rFonts w:ascii="Times New Roman" w:hAnsi="Times New Roman" w:cs="Times New Roman"/>
          <w:sz w:val="24"/>
          <w:szCs w:val="24"/>
        </w:rPr>
        <w:t>ПРАВИТЕЛЬСТВО КАБАРДИНО-БАЛКАРСКОЙ РЕСПУБЛИКИ</w:t>
      </w:r>
    </w:p>
    <w:p w:rsidR="00792D9E" w:rsidRPr="00792D9E" w:rsidRDefault="00792D9E" w:rsidP="00792D9E">
      <w:pPr>
        <w:jc w:val="center"/>
        <w:rPr>
          <w:rFonts w:ascii="Times New Roman" w:hAnsi="Times New Roman" w:cs="Times New Roman"/>
          <w:sz w:val="24"/>
          <w:szCs w:val="24"/>
        </w:rPr>
      </w:pPr>
    </w:p>
    <w:p w:rsidR="00792D9E" w:rsidRPr="00792D9E" w:rsidRDefault="00792D9E" w:rsidP="00792D9E">
      <w:pPr>
        <w:jc w:val="center"/>
        <w:rPr>
          <w:rFonts w:ascii="Times New Roman" w:hAnsi="Times New Roman" w:cs="Times New Roman"/>
          <w:sz w:val="24"/>
          <w:szCs w:val="24"/>
        </w:rPr>
      </w:pPr>
      <w:r w:rsidRPr="00792D9E">
        <w:rPr>
          <w:rFonts w:ascii="Times New Roman" w:hAnsi="Times New Roman" w:cs="Times New Roman"/>
          <w:sz w:val="24"/>
          <w:szCs w:val="24"/>
        </w:rPr>
        <w:t>ПОСТАНОВЛЕНИЕ</w:t>
      </w:r>
    </w:p>
    <w:p w:rsidR="00792D9E" w:rsidRPr="00792D9E" w:rsidRDefault="00792D9E" w:rsidP="00792D9E">
      <w:pPr>
        <w:jc w:val="center"/>
        <w:rPr>
          <w:rFonts w:ascii="Times New Roman" w:hAnsi="Times New Roman" w:cs="Times New Roman"/>
          <w:sz w:val="24"/>
          <w:szCs w:val="24"/>
        </w:rPr>
      </w:pPr>
    </w:p>
    <w:p w:rsidR="00792D9E" w:rsidRPr="00792D9E" w:rsidRDefault="00792D9E" w:rsidP="00792D9E">
      <w:pPr>
        <w:jc w:val="center"/>
        <w:rPr>
          <w:rFonts w:ascii="Times New Roman" w:hAnsi="Times New Roman" w:cs="Times New Roman"/>
          <w:sz w:val="24"/>
          <w:szCs w:val="24"/>
        </w:rPr>
      </w:pPr>
      <w:r w:rsidRPr="00792D9E">
        <w:rPr>
          <w:rFonts w:ascii="Times New Roman" w:hAnsi="Times New Roman" w:cs="Times New Roman"/>
          <w:sz w:val="24"/>
          <w:szCs w:val="24"/>
        </w:rPr>
        <w:t>от 1 декабря 2016 года N 215-ПП</w:t>
      </w:r>
    </w:p>
    <w:p w:rsidR="00792D9E" w:rsidRPr="00792D9E" w:rsidRDefault="00792D9E" w:rsidP="00792D9E">
      <w:pPr>
        <w:jc w:val="center"/>
        <w:rPr>
          <w:rFonts w:ascii="Times New Roman" w:hAnsi="Times New Roman" w:cs="Times New Roman"/>
          <w:sz w:val="24"/>
          <w:szCs w:val="24"/>
        </w:rPr>
      </w:pPr>
    </w:p>
    <w:p w:rsidR="00792D9E" w:rsidRPr="00792D9E" w:rsidRDefault="00792D9E" w:rsidP="00792D9E">
      <w:pPr>
        <w:jc w:val="center"/>
        <w:rPr>
          <w:rFonts w:ascii="Times New Roman" w:hAnsi="Times New Roman" w:cs="Times New Roman"/>
          <w:sz w:val="24"/>
          <w:szCs w:val="24"/>
        </w:rPr>
      </w:pPr>
      <w:r w:rsidRPr="00792D9E">
        <w:rPr>
          <w:rFonts w:ascii="Times New Roman" w:hAnsi="Times New Roman" w:cs="Times New Roman"/>
          <w:sz w:val="24"/>
          <w:szCs w:val="24"/>
        </w:rPr>
        <w:t>О ПРАВИЛАХ ДОБЫЧИ ОБЪЕКТОВ ЖИВОТНОГО МИРА, ЗАНЕСЕННЫХ В КРАСНУЮ КНИГУ КАБАРДИНО-БАЛКАРСКОЙ РЕСПУБЛИКИ</w:t>
      </w:r>
    </w:p>
    <w:p w:rsidR="00792D9E" w:rsidRPr="00792D9E" w:rsidRDefault="00792D9E" w:rsidP="00792D9E">
      <w:pPr>
        <w:jc w:val="cente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В соответствии со статьей 43 Федерального закона от 24 апреля 1995 года N 52-ФЗ "О животном мире", статьей 6 Закона Кабардино-Балкарской Республики от 8 мая 2003 года N 47-РЗ "О Красной книге Кабардино-Балкарской Республики" Правительство Кабардино-Балкарской Республики постановляет:</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Утвердить прилагаемые Правила добычи объектов животного мира, занесенных в Красную книгу Кабардино-Балкарской Республики.</w:t>
      </w:r>
    </w:p>
    <w:p w:rsidR="00792D9E" w:rsidRPr="00792D9E" w:rsidRDefault="00792D9E" w:rsidP="00792D9E">
      <w:pPr>
        <w:rPr>
          <w:rFonts w:ascii="Times New Roman" w:hAnsi="Times New Roman" w:cs="Times New Roman"/>
          <w:sz w:val="24"/>
          <w:szCs w:val="24"/>
        </w:rPr>
      </w:pP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Председатель Правительства</w:t>
      </w: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Кабардино-Балкарской Республики</w:t>
      </w:r>
    </w:p>
    <w:p w:rsid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А.МУСУКОВ</w:t>
      </w:r>
    </w:p>
    <w:p w:rsid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p>
    <w:p w:rsidR="00792D9E" w:rsidRPr="00792D9E" w:rsidRDefault="00792D9E" w:rsidP="00792D9E">
      <w:pPr>
        <w:jc w:val="center"/>
        <w:rPr>
          <w:rFonts w:ascii="Times New Roman" w:hAnsi="Times New Roman" w:cs="Times New Roman"/>
          <w:sz w:val="24"/>
          <w:szCs w:val="24"/>
        </w:rPr>
      </w:pPr>
      <w:r w:rsidRPr="00792D9E">
        <w:rPr>
          <w:rFonts w:ascii="Times New Roman" w:hAnsi="Times New Roman" w:cs="Times New Roman"/>
          <w:sz w:val="24"/>
          <w:szCs w:val="24"/>
        </w:rPr>
        <w:t>ПРАВИЛА ДОБЫЧИ ОБЪЕКТОВ ЖИВОТНОГО МИРА, ЗАНЕСЕННЫХ В КРАСНУЮ КНИГУ КАБАРДИНО-БАЛКАРСКОЙ РЕСПУБЛИКИ</w:t>
      </w:r>
    </w:p>
    <w:p w:rsidR="00792D9E" w:rsidRPr="00792D9E" w:rsidRDefault="00792D9E" w:rsidP="00792D9E">
      <w:pPr>
        <w:jc w:val="cente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Утверждены</w:t>
      </w: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постановлением</w:t>
      </w: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Правительства</w:t>
      </w: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Кабардино-Балкарской Республики</w:t>
      </w: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от 1 декабря 2016 года N 215-ПП</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1. Общие положения</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1. Настоящие Правила в соответствии со статьей 43 Федерального закона от 24 апреля 1995 года N 52-ФЗ "О животном мире", статьей 6 Закона Кабардино-Балкарской Республики от 8 мая 2003 года N 47-РЗ "О Красной книге Кабардино-Балкарской Республики" определяют порядок добычи объектов животного мира, занесенных в Красную книгу Кабардино-Балкарской Республики, за исключением объектов,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и за исключением редких и находящихся под угрозой исчезновения видов водных биологических ресурсов (далее - объекты животного мира).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2. Добыча объектов животного мира допускается в исключительных случаях в целях сохранения объектов животного мира, осуществления мониторинга состояния их популяций, регулирования их численности, охраны здоровья населения, устранения угрозы для жизни человека, предохранения от массовых заболеваний сельскохозяйственных и других домашних животных.</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3. Добыча объектов животного мира производится на основании разрешения на добычу объектов животного мира, выдаваемого уполномоченным исполнительным органом государственной власти Кабардино-Балкарской Республики в области охраны и использования объектов животного мира (далее - уполномоченный орган) по форме согласно приложению N 1 к настоящим Правилам.</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 xml:space="preserve">4. Разрешение на добычу объектов животного мира выдается уполномоченным органом на основании заявления физического или юридического лица, оформляется на специальном бланке </w:t>
      </w:r>
      <w:r w:rsidRPr="00792D9E">
        <w:rPr>
          <w:rFonts w:ascii="Times New Roman" w:hAnsi="Times New Roman" w:cs="Times New Roman"/>
          <w:sz w:val="24"/>
          <w:szCs w:val="24"/>
        </w:rPr>
        <w:lastRenderedPageBreak/>
        <w:t>(является документом строгой отчетности), подписывается руководителем (лицом, исполняющим его обязанности) или по поручению руководителя - заместителем руководителя уполномоченного органа и заверяется печатью.</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5. Разрешение на добычу объектов животного мира является именным, передача его другим лицам запрещается.</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6. Выданное разрешение на добычу объектов животного мира регистрируется в журнале учета и регистрации разрешений на добычу объектов животного мира, в котором указываются номер и дата выдачи разрешения, наименование юридического лица или фамилия, имя и отчество физического лица, получившего разрешение, вид и количество разрешенных к добыче объектов животного мира, срок действия разрешения, орудия и способы добычи объектов животного мира. Указанное разрешение выдается под роспись.</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7. Выдача разрешений на добычу объектов животного мира осуществляется бесплатно.</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8. Добыча объектов животного мира из среды их обитания должна производиться в объемах и способами, не наносящими ущерб их воспроизводству и среде обитания и исключающими причинение вреда другим объектам животного мира.</w:t>
      </w: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2. Состав заявочной документации и порядок выдачи разрешений на добычу объектов животного мира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9. Для получения разрешения на добычу объектов животного мира юридические и физические лица представляют в уполномоченный орган следующие документы:</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заявление о выдаче разрешения на добычу объектов животного мира;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материалы, обосновывающие необходимость добычи объектов животного мира (программы исследований, рекомендации эпидемиологических и эпизоотологических служб, проект размещения объектов животного мира в новых, пригодных для жизни местообитаниях в случаях их изъятия при строительстве объектов хозяйственной и иной деятельности).</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lastRenderedPageBreak/>
        <w:t>10. В заявлении о выдаче разрешения на добычу объектов животного мира указываются:</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сведения о заявителе (для физических лиц - паспортные данные, для юридических лиц - полное наименование юридического лица, его юридический адрес);</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название объектов животного мира на русском и латинском языках;</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описание объекта животного мира (взрослая или молодая особь, пол, яйца, икра и т.п.);</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количество планируемых к добыче объектов животного мира;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цель добычи объектов животного мира;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предполагаемый способ добычи объектов животного мира (отстрел, отлов и т.д.);</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 xml:space="preserve">предполагаемое орудие добычи объектов животного мира (огнестрельное оружие, сети, ловушки, </w:t>
      </w:r>
      <w:proofErr w:type="spellStart"/>
      <w:r w:rsidRPr="00792D9E">
        <w:rPr>
          <w:rFonts w:ascii="Times New Roman" w:hAnsi="Times New Roman" w:cs="Times New Roman"/>
          <w:sz w:val="24"/>
          <w:szCs w:val="24"/>
        </w:rPr>
        <w:t>иммобилизирующие</w:t>
      </w:r>
      <w:proofErr w:type="spellEnd"/>
      <w:r w:rsidRPr="00792D9E">
        <w:rPr>
          <w:rFonts w:ascii="Times New Roman" w:hAnsi="Times New Roman" w:cs="Times New Roman"/>
          <w:sz w:val="24"/>
          <w:szCs w:val="24"/>
        </w:rPr>
        <w:t xml:space="preserve"> средства и т.д.);</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место добычи объектов животного мира (административный район, урочище, водоем и т.д.);</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предполагаемый срок добычи объектов животного мира (год, месяц, дата);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подробные сведения об условиях транспортировки, передержки и дальнейшего содержания изымаемых из природной среды объектов животного мира;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фамилия, имя, отчество, должность лица, ответственного за добычу объектов животного мира, с указанием серии и номера охотничьего билета;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фамилия, имя, отчество лиц, привлекаемых для добычи объектов животного мира, с указанием серии и номера охотничьего билета.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11. К заявлению прилагается заверенная копия устава. Выписка из Единого государственного реестра юридических лиц (для юридических лиц) либо выписка из Единого государственного реестра индивидуальных предпринимателей (для индивидуальных предпринимателей), полученная не ранее тридцати календарных дней до даты подачи заявления, копия лицензии, если данный вид деятельности подлежит лицензированию, запрашиваются уполномоченным органом в порядке межведомственного информационного взаимодействия, если указанные документы не были представлены заявителем по собственной инициативе.</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12. При получении разрешения на добычу объектов животного мира на особо охраняемых природных территориях регионального значения необходимо согласование с администрациями государственных учреждений, подведомственных уполномоченному органу и осуществляющих управление соответствующей особо охраняемой природной территорией регионального значения.</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13. Уполномоченный орган рассматривает заявление о выдаче разрешения на добычу объектов животного мира в течение тридцати календарных дней со дня его получения. По результатам рассмотрения уполномоченным органом принимается решение о выдаче такого разрешения или об отказе в его выдаче.</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14. В особых случаях, когда необходимость добычи объектов животного мира является безотлагательной, в связи с угрозой для жизни людей, а также в целях спасения жизни самого животного, уполномоченный орган рассматривает запросы, переданные по телеграфу, посредством факсимильной связи, электронной почты или иным способом, и оперативно сообщает свое решение.</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Полученное по телеграфу, посредством факсимильной связи, электронной почты или иным способом сообщение срочно передается руководителю уполномоченного органа (лицу, исполняющему его обязанности) или по поручению руководителя уполномоченного органа его заместителю, который принимает решение о выдаче разрешения на добычу. Подписанная им телеграмма с разрешением на добычу в тот же день направляется заявителю. По факту добычи в уполномоченный орган направляется соответствующий акт.</w:t>
      </w: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3. Основания для отказа в выдаче разрешения на добычу объектов животного мира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15. Основаниями для отказа в выдаче разрешения на добычу объектов животного мира являются:</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непредставление документов и материалов, определенных настоящими Правилами, или представление недостоверных сведений и документов;</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невозвращение или несвоевременное возвращение ранее выданного разрешения на добычу объектов животного мира и (или) отчета о результатах добычи (составляется с использованием типовой формы, установленной приложением N 2 к настоящим Правилам) с прилагаемыми к нему документами;</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допущенные ранее нарушения установленного порядка использования разрешения на добычу объектов животного мира, условий и требований, указанных в нем, а также нарушения положений настоящих Правил;</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отсутствие лицензии на соответствующий вид деятельности, если данный вид деятельности подлежит лицензированию.</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16. В случае принятия решения об отказе в выдаче разрешения на добычу объектов животного мира не позднее трех рабочих дней со дня принятия такого решения заявителю направляется письмо, содержащее мотивированный отказ в выдаче разрешения.</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17. Заявитель вправе обжаловать действия (бездействие), решения должностных лиц уполномоченного органа в порядке досудебного (внесудебного) обжалования и (или) в судебном порядке.</w:t>
      </w: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4. Условия и порядок добычи объектов животного мира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18. Лица, получившие разрешение на добычу объектов животного мира, должны производить добычу в соответствии с условиями и требованиями, указанными в настоящих Правилах.</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19. Лица, осуществляющие добычу объектов животного мира, при добыче и транспортировке объектов животного мира обязаны:</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lastRenderedPageBreak/>
        <w:t>иметь при себе разрешение на добычу объектов животного мира;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иметь при себе охотничий билет;</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иметь при себе список лиц, привлекаемых для добычи объектов животного мира;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ежедневно отмечать в разрешении место добычи объектов животного мира, вид и количество добытых объектов животного мира;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соблюдать установленные законодательством обязанности пользователя животным миром.</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20. По факту каждой добычи объектов животного мира лицом, ответственным за добычу, на месте составляется акт с указанием даты, места, вида и количества добытых объектов животного мира, орудий добычи, фамилий лиц, ответственных и привлеченных для добычи.</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21. Добыча объектов животного мира осуществляется с участием представителя уполномоченного органа.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22. Разрешение на добычу объектов животного мира и отчет о результатах добычи с подлежащими приложению к нему документами возвращается в уполномоченный орган, выдавший разрешение на добычу объектов животного мира, в месячный срок после окончания срока действия указанного разрешения.</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23. Неиспользованное разрешение на добычу объектов животного мира в течение месяца после окончания срока его действия возвращается в уполномоченный орган, выдавший указанное разрешение, с объяснением причин его неиспользования.</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24. Сроки и способы добычи объектов животного мира определяются в соответствии с целями добычи и не должны наносить ущерб естественным популяциям животных и их местам обитания. Орудия и способы добычи объектов животного мира должны обеспечивать избирательность действия и снижать вероятность нанесения физических и психических травм животным.</w:t>
      </w: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5. Контроль за соблюдением настоящих Правил</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25. Контроль за соблюдением настоящих Правил осуществляет уполномоченный исполнительный орган государственной власти Кабардино-Балкарской Республики в области охраны и использования объектов животного мира.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p>
    <w:p w:rsidR="00792D9E" w:rsidRPr="00792D9E" w:rsidRDefault="00792D9E" w:rsidP="00792D9E">
      <w:pPr>
        <w:jc w:val="center"/>
        <w:rPr>
          <w:rFonts w:ascii="Times New Roman" w:hAnsi="Times New Roman" w:cs="Times New Roman"/>
          <w:sz w:val="24"/>
          <w:szCs w:val="24"/>
        </w:rPr>
      </w:pPr>
      <w:r w:rsidRPr="00792D9E">
        <w:rPr>
          <w:rFonts w:ascii="Times New Roman" w:hAnsi="Times New Roman" w:cs="Times New Roman"/>
          <w:sz w:val="24"/>
          <w:szCs w:val="24"/>
        </w:rPr>
        <w:t>Приложение N 1. РАЗРЕШЕНИЕ N на добычу объектов животного мира, занесенных в Красную книгу Кабардино-Балкарской Республики</w:t>
      </w:r>
    </w:p>
    <w:p w:rsidR="00792D9E" w:rsidRPr="00792D9E" w:rsidRDefault="00792D9E" w:rsidP="00792D9E">
      <w:pPr>
        <w:jc w:val="center"/>
        <w:rPr>
          <w:rFonts w:ascii="Times New Roman" w:hAnsi="Times New Roman" w:cs="Times New Roman"/>
          <w:sz w:val="24"/>
          <w:szCs w:val="24"/>
        </w:rPr>
      </w:pP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Приложение N 1</w:t>
      </w: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к Правилам</w:t>
      </w: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добычи объектов животного мира,</w:t>
      </w: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занесенных в Красную книгу</w:t>
      </w: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Кабардино-Балкарской Республики</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Типовая форма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Действительно с "__" ____________ 20__ г. по "__" ____________ 20__ г.</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Настоящим разрешается 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___________________________________________________________________________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(наименование юридического лица или Ф.И.О. физического лица)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Ф.И.О., должность лица, ответственного за добычу, 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___________________________________________________________________________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произвести добычу 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(способы и орудия добычи)</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объекта животного мира 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___________________________________________________________________________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___________________________________________________________________________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(вид животного, количество, возраст, пол, яйца, икра и т.д.)</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в пределах ________________________________________________________________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(район, охотхозяйство, урочище, водоем и т.п.)</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в целях ___________________________________________________________________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Ф.И.О. лиц, привлекаемых для добычи, 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___________________________________________________________________________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___________________________________________________________________________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 xml:space="preserve">     М.П. ________________________________/__________________________</w:t>
      </w: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lastRenderedPageBreak/>
        <w:t xml:space="preserve">                        (должность, подпись, Ф.И.О.)</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Дата выдачи разрешения "__" ____________ 20__ г.</w:t>
      </w:r>
    </w:p>
    <w:p w:rsidR="00792D9E" w:rsidRPr="00792D9E" w:rsidRDefault="00792D9E" w:rsidP="00792D9E">
      <w:pPr>
        <w:rPr>
          <w:rFonts w:ascii="Times New Roman" w:hAnsi="Times New Roman" w:cs="Times New Roman"/>
          <w:sz w:val="24"/>
          <w:szCs w:val="24"/>
        </w:rPr>
      </w:pPr>
    </w:p>
    <w:p w:rsid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p>
    <w:p w:rsidR="00792D9E" w:rsidRPr="00792D9E" w:rsidRDefault="00792D9E" w:rsidP="00792D9E">
      <w:pPr>
        <w:jc w:val="center"/>
        <w:rPr>
          <w:rFonts w:ascii="Times New Roman" w:hAnsi="Times New Roman" w:cs="Times New Roman"/>
          <w:sz w:val="24"/>
          <w:szCs w:val="24"/>
        </w:rPr>
      </w:pPr>
      <w:r w:rsidRPr="00792D9E">
        <w:rPr>
          <w:rFonts w:ascii="Times New Roman" w:hAnsi="Times New Roman" w:cs="Times New Roman"/>
          <w:sz w:val="24"/>
          <w:szCs w:val="24"/>
        </w:rPr>
        <w:t>Приложение N 2. ОТЧЕТ о результатах добычи объектов животного мира, занесенных в Красную книгу Кабардино-Балкарской Республики</w:t>
      </w:r>
    </w:p>
    <w:p w:rsidR="00792D9E" w:rsidRPr="00792D9E" w:rsidRDefault="00792D9E" w:rsidP="00792D9E">
      <w:pPr>
        <w:jc w:val="center"/>
        <w:rPr>
          <w:rFonts w:ascii="Times New Roman" w:hAnsi="Times New Roman" w:cs="Times New Roman"/>
          <w:sz w:val="24"/>
          <w:szCs w:val="24"/>
        </w:rPr>
      </w:pP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Приложение N 2</w:t>
      </w: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к Правилам</w:t>
      </w: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добычи объектов животного мира,</w:t>
      </w: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занесенных в Красную книгу</w:t>
      </w:r>
    </w:p>
    <w:p w:rsidR="00792D9E" w:rsidRPr="00792D9E" w:rsidRDefault="00792D9E" w:rsidP="00792D9E">
      <w:pPr>
        <w:jc w:val="right"/>
        <w:rPr>
          <w:rFonts w:ascii="Times New Roman" w:hAnsi="Times New Roman" w:cs="Times New Roman"/>
          <w:sz w:val="24"/>
          <w:szCs w:val="24"/>
        </w:rPr>
      </w:pPr>
      <w:r w:rsidRPr="00792D9E">
        <w:rPr>
          <w:rFonts w:ascii="Times New Roman" w:hAnsi="Times New Roman" w:cs="Times New Roman"/>
          <w:sz w:val="24"/>
          <w:szCs w:val="24"/>
        </w:rPr>
        <w:t>Кабардино-Балкарской Республики</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Типовая форма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1. ________________________________________________________________________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(место и сроки добычи)</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2. ________________________________________________________________________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(вид и количество добытых животных, их пол, возраст и т.д.)</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3. ________________________________________________________________________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(способы и орудия добычи)</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Дополнительные сведения 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(состояние добытых животных, наличие травм,</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___________________________________________________________________________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признаков заболеваний, дефектов и т.д.)</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Подпись лица, ответственного за добычу 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Подписи лиц, привлеченных к добыче 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Подпись лица, осуществляющего контроль за добычей</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___________________________________________________________________________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Приложение:</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___________________________________________________________________________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(копии актов на добычу объекта животного мира, на случайный прилов</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___________________________________________________________________________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и падеж животных, на прием-передачу добытых животных, на временное</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___________________________________________________________________________</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содержание и т.п.)</w:t>
      </w:r>
    </w:p>
    <w:p w:rsidR="00792D9E" w:rsidRPr="00792D9E" w:rsidRDefault="00792D9E" w:rsidP="00792D9E">
      <w:pPr>
        <w:rPr>
          <w:rFonts w:ascii="Times New Roman" w:hAnsi="Times New Roman" w:cs="Times New Roman"/>
          <w:sz w:val="24"/>
          <w:szCs w:val="24"/>
        </w:rPr>
      </w:pPr>
    </w:p>
    <w:p w:rsidR="006A66AD"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Сведения о ежедневной добыче объектов животного мира</w:t>
      </w:r>
    </w:p>
    <w:p w:rsidR="006A66AD" w:rsidRDefault="006A66AD" w:rsidP="00792D9E">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1323"/>
        <w:gridCol w:w="2838"/>
        <w:gridCol w:w="937"/>
        <w:gridCol w:w="1112"/>
        <w:gridCol w:w="4085"/>
      </w:tblGrid>
      <w:tr w:rsidR="00792D9E" w:rsidRPr="00792D9E" w:rsidTr="00792D9E">
        <w:trPr>
          <w:trHeight w:val="15"/>
          <w:tblCellSpacing w:w="15" w:type="dxa"/>
        </w:trPr>
        <w:tc>
          <w:tcPr>
            <w:tcW w:w="1294" w:type="dxa"/>
            <w:vAlign w:val="center"/>
            <w:hideMark/>
          </w:tcPr>
          <w:p w:rsidR="00792D9E" w:rsidRPr="00792D9E" w:rsidRDefault="00792D9E" w:rsidP="00792D9E">
            <w:pPr>
              <w:spacing w:after="0" w:line="240" w:lineRule="auto"/>
              <w:rPr>
                <w:rFonts w:ascii="Times New Roman" w:eastAsia="Times New Roman" w:hAnsi="Times New Roman" w:cs="Times New Roman"/>
                <w:sz w:val="2"/>
                <w:szCs w:val="24"/>
                <w:lang w:eastAsia="ru-RU"/>
              </w:rPr>
            </w:pPr>
          </w:p>
        </w:tc>
        <w:tc>
          <w:tcPr>
            <w:tcW w:w="2957" w:type="dxa"/>
            <w:vAlign w:val="center"/>
            <w:hideMark/>
          </w:tcPr>
          <w:p w:rsidR="00792D9E" w:rsidRPr="00792D9E" w:rsidRDefault="00792D9E" w:rsidP="00792D9E">
            <w:pPr>
              <w:spacing w:after="0" w:line="240" w:lineRule="auto"/>
              <w:rPr>
                <w:rFonts w:ascii="Times New Roman" w:eastAsia="Times New Roman" w:hAnsi="Times New Roman" w:cs="Times New Roman"/>
                <w:sz w:val="2"/>
                <w:szCs w:val="24"/>
                <w:lang w:eastAsia="ru-RU"/>
              </w:rPr>
            </w:pPr>
          </w:p>
        </w:tc>
        <w:tc>
          <w:tcPr>
            <w:tcW w:w="924" w:type="dxa"/>
            <w:vAlign w:val="center"/>
            <w:hideMark/>
          </w:tcPr>
          <w:p w:rsidR="00792D9E" w:rsidRPr="00792D9E" w:rsidRDefault="00792D9E" w:rsidP="00792D9E">
            <w:pPr>
              <w:spacing w:after="0" w:line="240" w:lineRule="auto"/>
              <w:rPr>
                <w:rFonts w:ascii="Times New Roman" w:eastAsia="Times New Roman" w:hAnsi="Times New Roman" w:cs="Times New Roman"/>
                <w:sz w:val="2"/>
                <w:szCs w:val="24"/>
                <w:lang w:eastAsia="ru-RU"/>
              </w:rPr>
            </w:pPr>
          </w:p>
        </w:tc>
        <w:tc>
          <w:tcPr>
            <w:tcW w:w="1109" w:type="dxa"/>
            <w:vAlign w:val="center"/>
            <w:hideMark/>
          </w:tcPr>
          <w:p w:rsidR="00792D9E" w:rsidRPr="00792D9E" w:rsidRDefault="00792D9E" w:rsidP="00792D9E">
            <w:pPr>
              <w:spacing w:after="0" w:line="240" w:lineRule="auto"/>
              <w:rPr>
                <w:rFonts w:ascii="Times New Roman" w:eastAsia="Times New Roman" w:hAnsi="Times New Roman" w:cs="Times New Roman"/>
                <w:sz w:val="2"/>
                <w:szCs w:val="24"/>
                <w:lang w:eastAsia="ru-RU"/>
              </w:rPr>
            </w:pPr>
          </w:p>
        </w:tc>
        <w:tc>
          <w:tcPr>
            <w:tcW w:w="4250" w:type="dxa"/>
            <w:vAlign w:val="center"/>
            <w:hideMark/>
          </w:tcPr>
          <w:p w:rsidR="00792D9E" w:rsidRPr="00792D9E" w:rsidRDefault="00792D9E" w:rsidP="00792D9E">
            <w:pPr>
              <w:spacing w:after="0" w:line="240" w:lineRule="auto"/>
              <w:rPr>
                <w:rFonts w:ascii="Times New Roman" w:eastAsia="Times New Roman" w:hAnsi="Times New Roman" w:cs="Times New Roman"/>
                <w:sz w:val="2"/>
                <w:szCs w:val="24"/>
                <w:lang w:eastAsia="ru-RU"/>
              </w:rPr>
            </w:pPr>
          </w:p>
        </w:tc>
      </w:tr>
      <w:tr w:rsidR="00792D9E" w:rsidRPr="00792D9E" w:rsidTr="00792D9E">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92D9E" w:rsidRPr="00792D9E" w:rsidRDefault="00792D9E" w:rsidP="00792D9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92D9E">
              <w:rPr>
                <w:rFonts w:ascii="Times New Roman" w:eastAsia="Times New Roman" w:hAnsi="Times New Roman" w:cs="Times New Roman"/>
                <w:sz w:val="24"/>
                <w:szCs w:val="24"/>
                <w:lang w:eastAsia="ru-RU"/>
              </w:rPr>
              <w:t xml:space="preserve">Дата добычи </w:t>
            </w: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92D9E" w:rsidRPr="00792D9E" w:rsidRDefault="00792D9E" w:rsidP="00792D9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92D9E">
              <w:rPr>
                <w:rFonts w:ascii="Times New Roman" w:eastAsia="Times New Roman" w:hAnsi="Times New Roman" w:cs="Times New Roman"/>
                <w:sz w:val="24"/>
                <w:szCs w:val="24"/>
                <w:lang w:eastAsia="ru-RU"/>
              </w:rPr>
              <w:t>Место добычи (район, урочище, водоем и т.д.)</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92D9E" w:rsidRPr="00792D9E" w:rsidRDefault="00792D9E" w:rsidP="00792D9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92D9E">
              <w:rPr>
                <w:rFonts w:ascii="Times New Roman" w:eastAsia="Times New Roman" w:hAnsi="Times New Roman" w:cs="Times New Roman"/>
                <w:sz w:val="24"/>
                <w:szCs w:val="24"/>
                <w:lang w:eastAsia="ru-RU"/>
              </w:rPr>
              <w:t xml:space="preserve">Вид </w:t>
            </w: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92D9E" w:rsidRPr="00792D9E" w:rsidRDefault="00792D9E" w:rsidP="00792D9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92D9E">
              <w:rPr>
                <w:rFonts w:ascii="Times New Roman" w:eastAsia="Times New Roman" w:hAnsi="Times New Roman" w:cs="Times New Roman"/>
                <w:sz w:val="24"/>
                <w:szCs w:val="24"/>
                <w:lang w:eastAsia="ru-RU"/>
              </w:rPr>
              <w:t xml:space="preserve">Кол-во </w:t>
            </w: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92D9E" w:rsidRPr="00792D9E" w:rsidRDefault="00792D9E" w:rsidP="00792D9E">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792D9E">
              <w:rPr>
                <w:rFonts w:ascii="Times New Roman" w:eastAsia="Times New Roman" w:hAnsi="Times New Roman" w:cs="Times New Roman"/>
                <w:sz w:val="24"/>
                <w:szCs w:val="24"/>
                <w:lang w:eastAsia="ru-RU"/>
              </w:rPr>
              <w:t xml:space="preserve">Подпись лица, ответственного за добычу </w:t>
            </w:r>
          </w:p>
        </w:tc>
      </w:tr>
      <w:tr w:rsidR="00792D9E" w:rsidRPr="00792D9E" w:rsidTr="00792D9E">
        <w:trPr>
          <w:tblCellSpacing w:w="15" w:type="dxa"/>
        </w:trPr>
        <w:tc>
          <w:tcPr>
            <w:tcW w:w="129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92D9E" w:rsidRPr="00792D9E" w:rsidRDefault="00792D9E" w:rsidP="00792D9E">
            <w:pPr>
              <w:spacing w:after="0" w:line="240" w:lineRule="auto"/>
              <w:rPr>
                <w:rFonts w:ascii="Times New Roman" w:eastAsia="Times New Roman" w:hAnsi="Times New Roman" w:cs="Times New Roman"/>
                <w:sz w:val="24"/>
                <w:szCs w:val="24"/>
                <w:lang w:eastAsia="ru-RU"/>
              </w:rPr>
            </w:pPr>
          </w:p>
        </w:tc>
        <w:tc>
          <w:tcPr>
            <w:tcW w:w="2957"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92D9E" w:rsidRPr="00792D9E" w:rsidRDefault="00792D9E" w:rsidP="00792D9E">
            <w:pPr>
              <w:spacing w:after="0" w:line="240" w:lineRule="auto"/>
              <w:rPr>
                <w:rFonts w:ascii="Times New Roman" w:eastAsia="Times New Roman" w:hAnsi="Times New Roman" w:cs="Times New Roman"/>
                <w:sz w:val="24"/>
                <w:szCs w:val="24"/>
                <w:lang w:eastAsia="ru-RU"/>
              </w:rPr>
            </w:pP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92D9E" w:rsidRPr="00792D9E" w:rsidRDefault="00792D9E" w:rsidP="00792D9E">
            <w:pPr>
              <w:spacing w:after="0" w:line="240"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92D9E" w:rsidRPr="00792D9E" w:rsidRDefault="00792D9E" w:rsidP="00792D9E">
            <w:pPr>
              <w:spacing w:after="0" w:line="240" w:lineRule="auto"/>
              <w:rPr>
                <w:rFonts w:ascii="Times New Roman" w:eastAsia="Times New Roman" w:hAnsi="Times New Roman" w:cs="Times New Roman"/>
                <w:sz w:val="24"/>
                <w:szCs w:val="24"/>
                <w:lang w:eastAsia="ru-RU"/>
              </w:rPr>
            </w:pPr>
          </w:p>
        </w:tc>
        <w:tc>
          <w:tcPr>
            <w:tcW w:w="425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792D9E" w:rsidRPr="00792D9E" w:rsidRDefault="00792D9E" w:rsidP="00792D9E">
            <w:pPr>
              <w:spacing w:after="0" w:line="240" w:lineRule="auto"/>
              <w:rPr>
                <w:rFonts w:ascii="Times New Roman" w:eastAsia="Times New Roman" w:hAnsi="Times New Roman" w:cs="Times New Roman"/>
                <w:sz w:val="24"/>
                <w:szCs w:val="24"/>
                <w:lang w:eastAsia="ru-RU"/>
              </w:rPr>
            </w:pPr>
          </w:p>
        </w:tc>
      </w:tr>
    </w:tbl>
    <w:p w:rsidR="00792D9E" w:rsidRPr="00792D9E" w:rsidRDefault="00792D9E" w:rsidP="00792D9E">
      <w:pPr>
        <w:spacing w:before="100" w:beforeAutospacing="1" w:after="100" w:afterAutospacing="1" w:line="240" w:lineRule="auto"/>
        <w:rPr>
          <w:rFonts w:ascii="Times New Roman" w:eastAsia="Times New Roman" w:hAnsi="Times New Roman" w:cs="Times New Roman"/>
          <w:sz w:val="24"/>
          <w:szCs w:val="24"/>
          <w:lang w:eastAsia="ru-RU"/>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Примечания.</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1. Передача разрешения другим юридическим и физическим лицам</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запрещается.</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2. Добыча осуществляется в строгом соответствии с условиями, указанными</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в разрешении. По окончании срока действия разрешение с копиями</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соответствующих актов (о каждом случае добычи объекта животного мира, о</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случайном прилове, о приеме-передаче добытых животных, на падеж и т.д.) и</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отчетом о результатах добычи подлежит возврату в уполномоченный</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исполнительный орган государственной власти Кабардино-Балкарской Республики</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в области охраны и использования объектов животного мира в месячный срок.</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3. Лицам, не возвратившим или возвратившим с опозданием ранее</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полученное разрешение, не представившим или несвоевременно представившим</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отчет о результатах добычи, а также нарушившим установленный порядок</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использования разрешения и Правила добычи объектов животного мира,</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разрешения в дальнейшем не выдаются.</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4. Лица, нарушившие установленный порядок использования разрешений и</w:t>
      </w:r>
    </w:p>
    <w:p w:rsidR="00792D9E" w:rsidRPr="00792D9E" w:rsidRDefault="00792D9E" w:rsidP="00792D9E">
      <w:pPr>
        <w:rPr>
          <w:rFonts w:ascii="Times New Roman" w:hAnsi="Times New Roman" w:cs="Times New Roman"/>
          <w:sz w:val="24"/>
          <w:szCs w:val="24"/>
        </w:rPr>
      </w:pPr>
    </w:p>
    <w:p w:rsidR="00792D9E" w:rsidRPr="00792D9E"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Правила добычи объектов животного мира, несут административную, уголовную и</w:t>
      </w:r>
    </w:p>
    <w:p w:rsidR="00792D9E" w:rsidRPr="00792D9E" w:rsidRDefault="00792D9E" w:rsidP="00792D9E">
      <w:pPr>
        <w:rPr>
          <w:rFonts w:ascii="Times New Roman" w:hAnsi="Times New Roman" w:cs="Times New Roman"/>
          <w:sz w:val="24"/>
          <w:szCs w:val="24"/>
        </w:rPr>
      </w:pPr>
    </w:p>
    <w:p w:rsidR="006A66AD" w:rsidRPr="000C42FB" w:rsidRDefault="00792D9E" w:rsidP="00792D9E">
      <w:pPr>
        <w:rPr>
          <w:rFonts w:ascii="Times New Roman" w:hAnsi="Times New Roman" w:cs="Times New Roman"/>
          <w:sz w:val="24"/>
          <w:szCs w:val="24"/>
        </w:rPr>
      </w:pPr>
      <w:r w:rsidRPr="00792D9E">
        <w:rPr>
          <w:rFonts w:ascii="Times New Roman" w:hAnsi="Times New Roman" w:cs="Times New Roman"/>
          <w:sz w:val="24"/>
          <w:szCs w:val="24"/>
        </w:rPr>
        <w:t>иную ответственность в соответствии с действующим законодательством.</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6A66A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536F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F66CD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49081152676142a4"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