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745F2" w:rsidRPr="007745F2" w:rsidRDefault="007745F2" w:rsidP="007745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5F2">
        <w:rPr>
          <w:rFonts w:ascii="Times New Roman" w:hAnsi="Times New Roman" w:cs="Times New Roman"/>
          <w:b/>
          <w:sz w:val="24"/>
          <w:szCs w:val="24"/>
        </w:rPr>
        <w:t>ОБ УТВЕРЖДЕНИИ НОРМ В ОБЛАСТИ ОХОТЫ И СОХРАНЕНИЯ ОХОТНИЧЬИХ РЕСУРСОВ В ОСЕННЕ-ЗИМНИЙ ПЕРИОД 2017 - 2018 ГГ. НА ТЕРРИТОРИИ РЕСПУБЛИКИ КАЛМЫКИЯ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ПРИКАЗ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от 10 августа 2017 года N 138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ОБ УТВЕРЖДЕНИИ НОРМ В ОБЛАСТИ ОХОТЫ И СОХРАНЕНИЯ ОХОТНИЧЬИХ РЕСУРСОВ В ОСЕННЕ-ЗИМНИЙ ПЕРИОД 2017 - 2018 ГГ. НА ТЕРРИТОРИИ РЕСПУБЛИКИ КАЛМЫКИЯ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В соответствии со статьями 34 и 38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распоряжением Главы Республики Калмыкия от 12 февраля 2016 года N 33-рг, приказываю: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1. Утвердить нормы пропускной способности водно-болотных угодий Республики Калмыкия при осуществлении охоты в осенне-зимний период 2017 года на водоплавающую дичь (приложение 1);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2. Утвердить дневные (суточные) нормы добычи пернатой дичи на одного охотника на территории Республики Калмыкия в период проведения осенне-зимней охоты 2017 года: водоплавающая дичь: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гуси - не более 3 особей;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утки, - не более 10 особей;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лысуха - не более 10 особей;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болотно-луговая, степная и полевая дичь, за исключением фазана - не более 10 особей;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самцы фазана - не более 2 особей.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3. Утвердить дневные (суточные) нормы добычи пушных животных на одного охотника на территории Республики Калмыкия в период проведения осенне-зимней охоты 2017 - 2018 гг.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хоря степного, куницы каменной - не более 1 особи;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зайца-русака, корсака, енотовидной собаки - не более 2 особей;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- волка, шакала, лисицы обыкновенной - без ограничений.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4. Утвердить сезонную норму добычи ондатры на одного охотника на территории Республики Калмыкия в период проведения осенне-зимней охоты 2017 - 2018 гг. (приложение 2);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5. Установить норму допустимой добычи дикого кабана на территории Республики Калмыкия в осенне-зимнем сезоне охоты 2017 - 2018 гг. в количестве 40 особей.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6. Контроль за исполнением настоящего приказа возложить на заместителя Министра Батырова К.Г.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Министр</w:t>
      </w:r>
    </w:p>
    <w:p w:rsid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Б.САПРОНОВ</w:t>
      </w:r>
    </w:p>
    <w:p w:rsid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lastRenderedPageBreak/>
        <w:t>Приложение 1. НОРМЫ ПРОПУСКНОЙ СПОСОБНОСТИ ОБЩЕДОСТУПНЫХ ОХОТНИЧЬИХ УГОДИЙ (ООУ) РЕСПУБЛИКИ КАЛМЫКИЯ ПРИ ОСУЩЕСТВЛЕНИИ ОХОТЫ НА ПЕРНАТУЮ ДИЧЬ В ОСЕННЕ-ЗИМНИЙ ПЕРИОД 2017 ГОДА</w:t>
      </w: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к Приказу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от 10 августа 2017 года N 138</w:t>
      </w:r>
    </w:p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5"/>
        <w:gridCol w:w="3356"/>
        <w:gridCol w:w="2263"/>
      </w:tblGrid>
      <w:tr w:rsidR="007745F2" w:rsidRPr="007745F2" w:rsidTr="007745F2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суточная пропускная способность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сезонная пропускная способность по району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Городовиковский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поля ООУ района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Ики-Бурульский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Заказник "Зунда"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Заказник "Чограйский"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Заказник "Южный", поля п. Маныч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Черноземельского канала от п. Светлый до оз. Матхир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Др. водоемы ООУ района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Кетченеровский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Сарпа, заливные луга п. Чкаловский и п. Алцынхута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Лаганский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Заказник "Каспийский"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Разливы Кумского канала, побережье и заливы Каспийского моря до границы с охотхозяйством РСОО и РК "Каспийское"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Др. водоемы ООУ района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Малодербетовский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Ханата, оз. Сарпа, оз. Шардава-Хаг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лиманы п. Ики - Бухус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Оз. Шарон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Хар-Гота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Лиман Гувиль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Сарпа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Временные разливы и водоемы канала Р-1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Приютненский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ООУ южнее федеральной автомобильной дороги Астрахань - Ставрополь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ООУ севернее федеральной автомобильной дороги Астрахань - Ставрополь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Сарпинский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Аршань-Зельмень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Каменная балка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Оз. Батыр-Мала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Сарпа, оз. Ханата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Поля ООУ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473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Р. Элиста, вдх. Красинское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р. Яшкуль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около п. Ялмта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оз. Бадмаевское, разливы около ф. Чонта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оз. Ар Нур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1692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разливы канала УС-5 восточнее автотрассы п. Яшкуль - п. Комсомольский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разливы севернее п. Сарул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разливы Черноземельского канала южнее п. Сарул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заказник Состинский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оз. Кек-Усн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разливы Светлый Ерик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разливы около ф. Яковлево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разливы р. Кума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Взморье около п. Артезиан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Юстинский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Яшкульский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657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оз. Баин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оз. Канурка и разливы оз. Канурка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Чилгирские разливы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Разливы около п. Эрмели, оз. Джанаховское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Разливы канала Волго-Чограй, южнее автотрассы</w:t>
            </w: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Астрахань-Ставрополь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Разливы около п. Хар-Толга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Цаган-Уснский коллектор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заливные луга п. Цаган Усн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лиман Большой капитан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Руслановские разливы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Кировские разливы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Яшалтинский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Бурукшунские лиманы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6602 </w:t>
            </w:r>
          </w:p>
        </w:tc>
      </w:tr>
    </w:tbl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Расчет сезонной пропускной способности охотничьих угодий на примере Городовиковского района: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Н = X х А: Y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Н - сезонная пропускная способность;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Х - суточная пропускная способность;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А - количество охотничьих дней на пернатую дичь за сезон в среднем, по Республике Калмыкия - 90;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Y - количество проведенных на охоте дней (согласно материалам опроса охотников республики, среднестатистический охотник проводит на охоте 20 дней за сезон охоты). H = 50 х 90:20 = 225</w:t>
      </w:r>
    </w:p>
    <w:p w:rsid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Приложение 2. НОРМЫ ДОБЫЧИ ОНДАТРЫ В ОСЕННЕ-ЗИМНЕМ СЕЗОНЕ ОХОТЫ 2017 - 2018 ГГ. НА ТЕРРИТОРИИ РЕСПУБЛИКИ КАЛМЫКИЯ</w:t>
      </w:r>
    </w:p>
    <w:p w:rsidR="007745F2" w:rsidRPr="007745F2" w:rsidRDefault="007745F2" w:rsidP="007745F2">
      <w:pPr>
        <w:rPr>
          <w:rFonts w:ascii="Times New Roman" w:hAnsi="Times New Roman" w:cs="Times New Roman"/>
          <w:sz w:val="24"/>
          <w:szCs w:val="24"/>
        </w:rPr>
      </w:pP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к Приказу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7745F2" w:rsidRPr="007745F2" w:rsidRDefault="007745F2" w:rsidP="007745F2">
      <w:pPr>
        <w:jc w:val="right"/>
        <w:rPr>
          <w:rFonts w:ascii="Times New Roman" w:hAnsi="Times New Roman" w:cs="Times New Roman"/>
          <w:sz w:val="24"/>
          <w:szCs w:val="24"/>
        </w:rPr>
      </w:pPr>
      <w:r w:rsidRPr="007745F2">
        <w:rPr>
          <w:rFonts w:ascii="Times New Roman" w:hAnsi="Times New Roman" w:cs="Times New Roman"/>
          <w:sz w:val="24"/>
          <w:szCs w:val="24"/>
        </w:rPr>
        <w:t>от 10 августа 2017 года N 138</w:t>
      </w:r>
    </w:p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p w:rsidR="00A100F9" w:rsidRPr="007745F2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80"/>
        <w:gridCol w:w="3002"/>
      </w:tblGrid>
      <w:tr w:rsidR="007745F2" w:rsidRPr="007745F2" w:rsidTr="007745F2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7745F2" w:rsidRPr="007745F2" w:rsidRDefault="007745F2" w:rsidP="00774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добычи за сезон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Городовиковский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Ики-Бурульский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Кетченеровский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Лаганский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Малодербетовский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378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Приютненский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633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Сарпинский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Юстинский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Яшкульский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Яшалтинский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7745F2" w:rsidRPr="007745F2" w:rsidTr="007745F2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745F2" w:rsidRPr="007745F2" w:rsidRDefault="007745F2" w:rsidP="007745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7764 </w:t>
            </w:r>
          </w:p>
        </w:tc>
      </w:tr>
    </w:tbl>
    <w:p w:rsidR="00A100F9" w:rsidRPr="00E50374" w:rsidRDefault="00A100F9" w:rsidP="007745F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E2618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c6878a9121a4b0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