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48B0D2" w14:textId="77777777" w:rsidR="00A21F3B" w:rsidRDefault="00A21F3B" w:rsidP="00A21F3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ХАНТЫ-МАНСИЙСКОГО РАЙОНА ХАНТЫ-МАНСИЙСКОГО АВТОНОМНОГО ОКРУГА - ЮГРЫ</w:t>
      </w:r>
    </w:p>
    <w:p w14:paraId="00B46426" w14:textId="77777777" w:rsidR="00A21F3B" w:rsidRDefault="00A21F3B" w:rsidP="00A21F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372C306" w14:textId="77777777" w:rsidR="00A21F3B" w:rsidRDefault="00A21F3B" w:rsidP="00A21F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августа 2019 года N 226</w:t>
      </w:r>
      <w:r>
        <w:rPr>
          <w:rFonts w:ascii="Arial" w:hAnsi="Arial" w:cs="Arial"/>
          <w:b/>
          <w:bCs/>
          <w:color w:val="444444"/>
        </w:rPr>
        <w:br/>
      </w:r>
    </w:p>
    <w:p w14:paraId="04B08005" w14:textId="77777777" w:rsidR="00A21F3B" w:rsidRDefault="00A21F3B" w:rsidP="00A21F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накопления твердых коммунальных отходов (в том числе их раздельного накопления) в Ханты-Мансийском районе</w:t>
      </w:r>
    </w:p>
    <w:p w14:paraId="022BFFB2" w14:textId="77777777" w:rsidR="00A21F3B" w:rsidRDefault="00A21F3B" w:rsidP="00A21F3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31.03.2020 N 81)</w:t>
      </w:r>
    </w:p>
    <w:p w14:paraId="6CFD1083" w14:textId="77777777" w:rsidR="00A21F3B" w:rsidRDefault="00A21F3B" w:rsidP="00A21F3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18.12.2020 N 351)</w:t>
      </w:r>
    </w:p>
    <w:p w14:paraId="436F66A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641", Законом Ханты-Мансийского автономного округа-Югры от 17 ноября 2016 года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 на основании статьи 32 Устава Ханты-Мансийского района, утвержденного решением Думы Ханты-Мансийского района от 25 мая 2005 года N 372:</w:t>
      </w:r>
      <w:r>
        <w:rPr>
          <w:rFonts w:ascii="Arial" w:hAnsi="Arial" w:cs="Arial"/>
          <w:color w:val="444444"/>
        </w:rPr>
        <w:br/>
      </w:r>
    </w:p>
    <w:p w14:paraId="23C284AA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Порядок накопления твердых коммунальных отходов (в том числе их раздельного накопления) в Ханты-Мансийском районе.</w:t>
      </w:r>
      <w:r>
        <w:rPr>
          <w:rFonts w:ascii="Arial" w:hAnsi="Arial" w:cs="Arial"/>
          <w:color w:val="444444"/>
        </w:rPr>
        <w:br/>
      </w:r>
    </w:p>
    <w:p w14:paraId="78683FBA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постановление администрации Ханты-Мансийского района от 14 сентября 2018 года N 256 "Об утверждении Порядка накопления твердых коммунальных отходов (в том числе их раздельного накопления) на территории Ханты-Мансийского района".</w:t>
      </w:r>
      <w:r>
        <w:rPr>
          <w:rFonts w:ascii="Arial" w:hAnsi="Arial" w:cs="Arial"/>
          <w:color w:val="444444"/>
        </w:rPr>
        <w:br/>
      </w:r>
    </w:p>
    <w:p w14:paraId="5261B7D5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Рекомендовать главам сельских поселений Ханты-Мансийского района привести муниципальные правовые акты, регулирующие вопросы накопления твердых коммунальных отходов (в том числе их раздельного накопления), в соответствие с настоящим постановлением.</w:t>
      </w:r>
      <w:r>
        <w:rPr>
          <w:rFonts w:ascii="Arial" w:hAnsi="Arial" w:cs="Arial"/>
          <w:color w:val="444444"/>
        </w:rPr>
        <w:br/>
      </w:r>
    </w:p>
    <w:p w14:paraId="09D64A9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настоящее постановление в газете "Наш район" и разместить на официальном сайте администрации Ханты-Мансийского района в сети Интернет.</w:t>
      </w:r>
      <w:r>
        <w:rPr>
          <w:rFonts w:ascii="Arial" w:hAnsi="Arial" w:cs="Arial"/>
          <w:color w:val="444444"/>
        </w:rPr>
        <w:br/>
      </w:r>
    </w:p>
    <w:p w14:paraId="7CF7242A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Настоящее постановление вступает в силу после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03365C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Контроль за выполнением постановления возложить на заместителя главы Ханты-Мансийского района, директора департамента строительства, архитектуры и жилищно-коммунального хозяйства администрации района.</w:t>
      </w:r>
      <w:r>
        <w:rPr>
          <w:rFonts w:ascii="Arial" w:hAnsi="Arial" w:cs="Arial"/>
          <w:color w:val="444444"/>
        </w:rPr>
        <w:br/>
      </w:r>
    </w:p>
    <w:p w14:paraId="3ED378C0" w14:textId="77777777" w:rsidR="00A21F3B" w:rsidRDefault="00A21F3B" w:rsidP="00A21F3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</w:t>
      </w:r>
      <w:r>
        <w:rPr>
          <w:rFonts w:ascii="Arial" w:hAnsi="Arial" w:cs="Arial"/>
          <w:color w:val="444444"/>
        </w:rPr>
        <w:br/>
        <w:t>     Ханты-Мансийского района</w:t>
      </w:r>
      <w:r>
        <w:rPr>
          <w:rFonts w:ascii="Arial" w:hAnsi="Arial" w:cs="Arial"/>
          <w:color w:val="444444"/>
        </w:rPr>
        <w:br/>
        <w:t>      </w:t>
      </w:r>
      <w:proofErr w:type="spellStart"/>
      <w:r>
        <w:rPr>
          <w:rFonts w:ascii="Arial" w:hAnsi="Arial" w:cs="Arial"/>
          <w:color w:val="444444"/>
        </w:rPr>
        <w:t>К.Р.Минулин</w:t>
      </w:r>
      <w:proofErr w:type="spellEnd"/>
    </w:p>
    <w:p w14:paraId="51CC3D35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503D4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изложено в новой редакции постановлением Администрации от 31.03.2020 N 81)</w:t>
      </w:r>
      <w:r>
        <w:rPr>
          <w:rFonts w:ascii="Arial" w:hAnsi="Arial" w:cs="Arial"/>
          <w:color w:val="444444"/>
        </w:rPr>
        <w:br/>
      </w:r>
    </w:p>
    <w:p w14:paraId="0F80B33C" w14:textId="77777777" w:rsidR="00A21F3B" w:rsidRDefault="00A21F3B" w:rsidP="00A21F3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28.08.2019 N 226</w:t>
      </w:r>
    </w:p>
    <w:p w14:paraId="5768C8C1" w14:textId="77777777" w:rsidR="00A21F3B" w:rsidRDefault="00A21F3B" w:rsidP="00A21F3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Ханты-Мансийском районе (далее-Порядок)</w:t>
      </w:r>
    </w:p>
    <w:p w14:paraId="69EA8AA6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65D5E9C7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76719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разработан в соответствии с Федеральным законом от 24.06.1998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 (далее - Правила обустройства мест накопления ТКО), Законом Ханты-Мансийского автономного округа – Югры от 17.11.2016 N 79-оз 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0CEFFF07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 раздела 1 изложен в новой редакции постановлением Администрации от 18.12.2020 N 351)</w:t>
      </w:r>
      <w:r>
        <w:rPr>
          <w:rFonts w:ascii="Arial" w:hAnsi="Arial" w:cs="Arial"/>
          <w:color w:val="444444"/>
        </w:rPr>
        <w:br/>
      </w:r>
    </w:p>
    <w:p w14:paraId="6E177539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требования к организации деятельности по накоплению в Ханты-Мансийском районе твердых коммунальных отходов (далее-ТКО),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14F9091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автономного округа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</w:t>
      </w:r>
      <w:r>
        <w:rPr>
          <w:rFonts w:ascii="Arial" w:hAnsi="Arial" w:cs="Arial"/>
          <w:color w:val="444444"/>
        </w:rPr>
        <w:lastRenderedPageBreak/>
        <w:t>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30DD804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3C9013D7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7E560155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447E1F1A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357C00C9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7136FEC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65D8F76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4F970B0B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II. Накопление ТКО</w:t>
      </w:r>
    </w:p>
    <w:p w14:paraId="708F97C9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BEDE59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 ТКО, в том числе раздельное, осуществляется:</w:t>
      </w:r>
      <w:r>
        <w:rPr>
          <w:rFonts w:ascii="Arial" w:hAnsi="Arial" w:cs="Arial"/>
          <w:color w:val="444444"/>
        </w:rPr>
        <w:br/>
      </w:r>
    </w:p>
    <w:p w14:paraId="6864DE9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0BB192D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24C1852D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(далее-КГО),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2F1EE12C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EB1217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площадках:</w:t>
      </w:r>
      <w:r>
        <w:rPr>
          <w:rFonts w:ascii="Arial" w:hAnsi="Arial" w:cs="Arial"/>
          <w:color w:val="444444"/>
        </w:rPr>
        <w:br/>
      </w:r>
    </w:p>
    <w:p w14:paraId="7C5D0D68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18D8420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6.2. Места расположения контейнерных площадок определяются администрацией Ханты-Мансийского района в отношении межселенной территории Ханты-Мансийского района и сельскими поселениями Ханты-Мансийского района в отношении населенных пунктов, входящих в состав сельских поселений Ханты-Мансийского района, согласно требованиям СанПиН 42-128-4690-88 "Санитарные правила содержания территорий населенных мест", утвержденным Главным государственным санитарным врачом СССР 05.08.1988 N 4690-88, СанПиН 2.1.7.3550-19 "Санитарно-эпидемиологические требования к содержанию территорий муниципальных образований", утвержденным постановлением Главного государственного санитарного врача </w:t>
      </w:r>
      <w:r>
        <w:rPr>
          <w:rFonts w:ascii="Arial" w:hAnsi="Arial" w:cs="Arial"/>
          <w:color w:val="444444"/>
        </w:rPr>
        <w:lastRenderedPageBreak/>
        <w:t>Российской Федерации от 5 декабря 2019 года N 20, и вносится в реестр мест (площадок) накопления ТКО, ведение которого осуществляется в соответствии с Правилами обустройства мест накопления ТКО.</w:t>
      </w:r>
      <w:r>
        <w:rPr>
          <w:rFonts w:ascii="Arial" w:hAnsi="Arial" w:cs="Arial"/>
          <w:color w:val="444444"/>
        </w:rPr>
        <w:br/>
      </w:r>
    </w:p>
    <w:p w14:paraId="3B69A1BE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6.2 пункта 6 раздела 2 после слов "врачом СССР 5 августа 1988 года N 4690-88," дополнен словами "СанПиН 2.1.7.3550-19 "Санитарно-эпидемиологические требования к содержанию территорий муниципальных образований", утвержденным постановлением Главного государственного санитарного врача Российской Федерации от 5 декабря 2019 года N 20," постановлением Администрации от 18.12.2020 N 351)</w:t>
      </w:r>
      <w:r>
        <w:rPr>
          <w:rFonts w:ascii="Arial" w:hAnsi="Arial" w:cs="Arial"/>
          <w:color w:val="444444"/>
        </w:rPr>
        <w:br/>
      </w:r>
    </w:p>
    <w:p w14:paraId="5E6ECD6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размещен на официальном сайте администрации Ханты-Мансийского района в информационно-телекоммуникационной сети Интернет по адресу: http://hmrn.ru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5BCA4739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6.4 дополнен постановлением Администрации от 18.12.2020 N 351)</w:t>
      </w:r>
      <w:r>
        <w:rPr>
          <w:rFonts w:ascii="Arial" w:hAnsi="Arial" w:cs="Arial"/>
          <w:color w:val="444444"/>
        </w:rPr>
        <w:br/>
      </w:r>
    </w:p>
    <w:p w14:paraId="7A1B440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администрацией Ханты-Мансийского района, сельскими поселениями Ханты-Мансийского района в пределах своих полномочий принимаются решения по вопросам организации накопления ТКО с учетом мнения граждан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030C9C3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15D22A0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2.1.2.2645-10 "Санитарно-эпидемиологические требования к условиям проживания в жилых зданиях и помещениях. Санитарно-эпидемиологические правила и нормативы" (постановление Главного государственного санитарного врача Российской Федерации от 10.06.2010 N 64), СанПиН 42-128-4690-88 "Санитарные правила содержания территорий населенных мест", утвержденными Главным государственным санитарным врачом СССР 05.08.1988 N </w:t>
      </w:r>
      <w:proofErr w:type="gramStart"/>
      <w:r>
        <w:rPr>
          <w:rFonts w:ascii="Arial" w:hAnsi="Arial" w:cs="Arial"/>
          <w:color w:val="444444"/>
        </w:rPr>
        <w:t>4690-88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AA2F09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17F3A0A0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7865EB92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790B2AE2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</w:t>
      </w:r>
      <w:r>
        <w:rPr>
          <w:rFonts w:ascii="Arial" w:hAnsi="Arial" w:cs="Arial"/>
          <w:color w:val="444444"/>
        </w:rPr>
        <w:lastRenderedPageBreak/>
        <w:t>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3C792134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0DFBA089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94A56AE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03EBF974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(далее-Договор).</w:t>
      </w:r>
      <w:r>
        <w:rPr>
          <w:rFonts w:ascii="Arial" w:hAnsi="Arial" w:cs="Arial"/>
          <w:color w:val="444444"/>
        </w:rPr>
        <w:br/>
      </w:r>
    </w:p>
    <w:p w14:paraId="0ECD790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7BA81F75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9.4 дополнен постановлением Администрации от 18.12.2020 N 351)</w:t>
      </w:r>
      <w:r>
        <w:rPr>
          <w:rFonts w:ascii="Arial" w:hAnsi="Arial" w:cs="Arial"/>
          <w:color w:val="444444"/>
        </w:rPr>
        <w:br/>
      </w:r>
    </w:p>
    <w:p w14:paraId="7BCBD49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55A8C12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460817C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3F8599E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036E97AE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Информация о местах приема опасных отходов размещена на официальном сайте администрации Ханты-Мансийского района в информационно-телекоммуникационной сети Интернет по адресу: http://hmrn.ru.</w:t>
      </w:r>
      <w:r>
        <w:rPr>
          <w:rFonts w:ascii="Arial" w:hAnsi="Arial" w:cs="Arial"/>
          <w:color w:val="444444"/>
        </w:rPr>
        <w:br/>
      </w:r>
    </w:p>
    <w:p w14:paraId="44BD906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(раздел III изложен в новой редакции постановлением Администрации от 18.12.2020 N 351)</w:t>
      </w:r>
      <w:r>
        <w:rPr>
          <w:rFonts w:ascii="Arial" w:hAnsi="Arial" w:cs="Arial"/>
          <w:color w:val="444444"/>
        </w:rPr>
        <w:br/>
      </w:r>
    </w:p>
    <w:p w14:paraId="3758AC7C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III. Требования к организации контейнерных площадок</w:t>
      </w:r>
    </w:p>
    <w:p w14:paraId="5FDDE351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668532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11. Требования к организации контейнерной площадки установлены постановлением Правительства Ханты-Мансийского автономного округа -Югры от 11.07.2019 N 229-п "О правилах организации деятельности по </w:t>
      </w:r>
      <w:r>
        <w:rPr>
          <w:rFonts w:ascii="Arial" w:hAnsi="Arial" w:cs="Arial"/>
          <w:color w:val="444444"/>
        </w:rPr>
        <w:lastRenderedPageBreak/>
        <w:t>накоплению твердых коммунальных отходов (в том числе их раздельному накоплению) в Ханты-Мансийском автономном округе –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E10C92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11.1. Контейнерные площадки должны располагаться на твердом, прочном, водонепроницаемом, легко очищаемом покрытии, которое способно обеспечивать установку и выкатывание контейнеров без повреждения. Контейнерные площадки должны иметь с трех сторон ограждение, навес, в случае отсутствия которого необходимо оборудовать контейнеры крышками (за исключением заглубленных контейнеров).</w:t>
      </w:r>
      <w:r>
        <w:rPr>
          <w:rFonts w:ascii="Arial" w:hAnsi="Arial" w:cs="Arial"/>
          <w:color w:val="444444"/>
        </w:rPr>
        <w:br/>
      </w:r>
    </w:p>
    <w:p w14:paraId="0501858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11.2. На контейнерных площадках должно быть не более 10 контейнеров для накопления ТКО, в том числе для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266D6EC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ТКО.".</w:t>
      </w:r>
      <w:r>
        <w:rPr>
          <w:rFonts w:ascii="Arial" w:hAnsi="Arial" w:cs="Arial"/>
          <w:color w:val="444444"/>
        </w:rPr>
        <w:br/>
      </w:r>
    </w:p>
    <w:p w14:paraId="4F3EB79B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IV. Раздельное накопление ТКО</w:t>
      </w:r>
    </w:p>
    <w:p w14:paraId="341698D0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F145C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Раздельное накопление ТКО организуется администрацией Ханты-Мансийского района в отношении межселенной территории Ханты-Мансийского района и сельскими поселениями Ханты-Мансийского района в отношении населенных пунктов, входящих в состав сельских поселений Ханты-Мансийского района.</w:t>
      </w:r>
      <w:r>
        <w:rPr>
          <w:rFonts w:ascii="Arial" w:hAnsi="Arial" w:cs="Arial"/>
          <w:color w:val="444444"/>
        </w:rPr>
        <w:br/>
      </w:r>
    </w:p>
    <w:p w14:paraId="000F5B9C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683A217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1923FD5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синий-смешанные сухие отходы;</w:t>
      </w:r>
      <w:r>
        <w:rPr>
          <w:rFonts w:ascii="Arial" w:hAnsi="Arial" w:cs="Arial"/>
          <w:color w:val="444444"/>
        </w:rPr>
        <w:br/>
      </w:r>
    </w:p>
    <w:p w14:paraId="14BA27C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4493DF58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77EC10B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оранжевый-пластик;</w:t>
      </w:r>
      <w:r>
        <w:rPr>
          <w:rFonts w:ascii="Arial" w:hAnsi="Arial" w:cs="Arial"/>
          <w:color w:val="444444"/>
        </w:rPr>
        <w:br/>
      </w:r>
    </w:p>
    <w:p w14:paraId="3649AC2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зеленый-стекло;</w:t>
      </w:r>
      <w:r>
        <w:rPr>
          <w:rFonts w:ascii="Arial" w:hAnsi="Arial" w:cs="Arial"/>
          <w:color w:val="444444"/>
        </w:rPr>
        <w:br/>
      </w:r>
    </w:p>
    <w:p w14:paraId="435DF0DE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синий-бумага и картон;</w:t>
      </w:r>
      <w:r>
        <w:rPr>
          <w:rFonts w:ascii="Arial" w:hAnsi="Arial" w:cs="Arial"/>
          <w:color w:val="444444"/>
        </w:rPr>
        <w:br/>
      </w:r>
    </w:p>
    <w:p w14:paraId="05EE3DE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желтый-металл;</w:t>
      </w:r>
      <w:r>
        <w:rPr>
          <w:rFonts w:ascii="Arial" w:hAnsi="Arial" w:cs="Arial"/>
          <w:color w:val="444444"/>
        </w:rPr>
        <w:br/>
      </w:r>
    </w:p>
    <w:p w14:paraId="1FCA9FAA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3B5C0C2F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554C2F3B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66BCC133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V. Организация накопления ТКО в труднодоступных и отдаленных местностях (включается при необходимости)</w:t>
      </w:r>
    </w:p>
    <w:p w14:paraId="724CA867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56052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На территории д. </w:t>
      </w:r>
      <w:proofErr w:type="spellStart"/>
      <w:r>
        <w:rPr>
          <w:rFonts w:ascii="Arial" w:hAnsi="Arial" w:cs="Arial"/>
          <w:color w:val="444444"/>
        </w:rPr>
        <w:t>Согом</w:t>
      </w:r>
      <w:proofErr w:type="spellEnd"/>
      <w:r>
        <w:rPr>
          <w:rFonts w:ascii="Arial" w:hAnsi="Arial" w:cs="Arial"/>
          <w:color w:val="444444"/>
        </w:rPr>
        <w:t xml:space="preserve">, п. </w:t>
      </w:r>
      <w:proofErr w:type="spellStart"/>
      <w:r>
        <w:rPr>
          <w:rFonts w:ascii="Arial" w:hAnsi="Arial" w:cs="Arial"/>
          <w:color w:val="444444"/>
        </w:rPr>
        <w:t>Пырьях</w:t>
      </w:r>
      <w:proofErr w:type="spellEnd"/>
      <w:r>
        <w:rPr>
          <w:rFonts w:ascii="Arial" w:hAnsi="Arial" w:cs="Arial"/>
          <w:color w:val="444444"/>
        </w:rPr>
        <w:t xml:space="preserve">, с. Троица, с. </w:t>
      </w:r>
      <w:proofErr w:type="spellStart"/>
      <w:r>
        <w:rPr>
          <w:rFonts w:ascii="Arial" w:hAnsi="Arial" w:cs="Arial"/>
          <w:color w:val="444444"/>
        </w:rPr>
        <w:t>Реполово</w:t>
      </w:r>
      <w:proofErr w:type="spellEnd"/>
      <w:r>
        <w:rPr>
          <w:rFonts w:ascii="Arial" w:hAnsi="Arial" w:cs="Arial"/>
          <w:color w:val="444444"/>
        </w:rPr>
        <w:t xml:space="preserve">, с. </w:t>
      </w:r>
      <w:proofErr w:type="spellStart"/>
      <w:r>
        <w:rPr>
          <w:rFonts w:ascii="Arial" w:hAnsi="Arial" w:cs="Arial"/>
          <w:color w:val="444444"/>
        </w:rPr>
        <w:t>Селиярово</w:t>
      </w:r>
      <w:proofErr w:type="spellEnd"/>
      <w:r>
        <w:rPr>
          <w:rFonts w:ascii="Arial" w:hAnsi="Arial" w:cs="Arial"/>
          <w:color w:val="444444"/>
        </w:rPr>
        <w:t xml:space="preserve">, п. </w:t>
      </w:r>
      <w:proofErr w:type="spellStart"/>
      <w:r>
        <w:rPr>
          <w:rFonts w:ascii="Arial" w:hAnsi="Arial" w:cs="Arial"/>
          <w:color w:val="444444"/>
        </w:rPr>
        <w:t>Выкатной</w:t>
      </w:r>
      <w:proofErr w:type="spellEnd"/>
      <w:r>
        <w:rPr>
          <w:rFonts w:ascii="Arial" w:hAnsi="Arial" w:cs="Arial"/>
          <w:color w:val="444444"/>
        </w:rPr>
        <w:t xml:space="preserve">, с. Тюли, д. Белогорье, п. Кирпичный, п. Сибирский, с. </w:t>
      </w:r>
      <w:proofErr w:type="spellStart"/>
      <w:r>
        <w:rPr>
          <w:rFonts w:ascii="Arial" w:hAnsi="Arial" w:cs="Arial"/>
          <w:color w:val="444444"/>
        </w:rPr>
        <w:t>Цингалы</w:t>
      </w:r>
      <w:proofErr w:type="spellEnd"/>
      <w:r>
        <w:rPr>
          <w:rFonts w:ascii="Arial" w:hAnsi="Arial" w:cs="Arial"/>
          <w:color w:val="444444"/>
        </w:rPr>
        <w:t xml:space="preserve">, д. </w:t>
      </w:r>
      <w:proofErr w:type="spellStart"/>
      <w:r>
        <w:rPr>
          <w:rFonts w:ascii="Arial" w:hAnsi="Arial" w:cs="Arial"/>
          <w:color w:val="444444"/>
        </w:rPr>
        <w:t>Чембакчина</w:t>
      </w:r>
      <w:proofErr w:type="spellEnd"/>
      <w:r>
        <w:rPr>
          <w:rFonts w:ascii="Arial" w:hAnsi="Arial" w:cs="Arial"/>
          <w:color w:val="444444"/>
        </w:rPr>
        <w:t xml:space="preserve">, с. </w:t>
      </w:r>
      <w:proofErr w:type="spellStart"/>
      <w:r>
        <w:rPr>
          <w:rFonts w:ascii="Arial" w:hAnsi="Arial" w:cs="Arial"/>
          <w:color w:val="444444"/>
        </w:rPr>
        <w:t>Зенково</w:t>
      </w:r>
      <w:proofErr w:type="spellEnd"/>
      <w:r>
        <w:rPr>
          <w:rFonts w:ascii="Arial" w:hAnsi="Arial" w:cs="Arial"/>
          <w:color w:val="444444"/>
        </w:rPr>
        <w:t xml:space="preserve">, д. </w:t>
      </w:r>
      <w:proofErr w:type="spellStart"/>
      <w:r>
        <w:rPr>
          <w:rFonts w:ascii="Arial" w:hAnsi="Arial" w:cs="Arial"/>
          <w:color w:val="444444"/>
        </w:rPr>
        <w:t>Лугофилинская</w:t>
      </w:r>
      <w:proofErr w:type="spellEnd"/>
      <w:r>
        <w:rPr>
          <w:rFonts w:ascii="Arial" w:hAnsi="Arial" w:cs="Arial"/>
          <w:color w:val="444444"/>
        </w:rPr>
        <w:t>, с которыми нет постоянного транспортного сообщения, накопление ТКО осуществляется на площадках временного накопления ТКО, с которых не реже чем один раз в одиннадцать месяцев отходы вывозятся на объекты их размещения.</w:t>
      </w:r>
      <w:r>
        <w:rPr>
          <w:rFonts w:ascii="Arial" w:hAnsi="Arial" w:cs="Arial"/>
          <w:color w:val="444444"/>
        </w:rPr>
        <w:br/>
      </w:r>
    </w:p>
    <w:p w14:paraId="57ACE8A7" w14:textId="77777777" w:rsidR="00A21F3B" w:rsidRDefault="00A21F3B" w:rsidP="00A21F3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VI.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1F6637B9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471A6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Ответственность за обустройство и надлежащее содержание контейнерных площадок несут собственники контейнерной площадки: администрация Хант-Мансийского района, сельские поселения Ханты-Мансийского района;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2138C50C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Контроль за обустройством и надлежащим содержанием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осуществляется администрацией Ханты-Мансийского района в отношении межселенной территории Ханты-Мансийского района и сельскими поселениями Ханты-Мансийского района-в отношении населенных пунктов, входящих в состав сельских поселений Ханты-Мансийского района.</w:t>
      </w:r>
      <w:r>
        <w:rPr>
          <w:rFonts w:ascii="Arial" w:hAnsi="Arial" w:cs="Arial"/>
          <w:color w:val="444444"/>
        </w:rPr>
        <w:br/>
      </w:r>
    </w:p>
    <w:p w14:paraId="19EC2BBD" w14:textId="77777777" w:rsidR="00A21F3B" w:rsidRDefault="00A21F3B" w:rsidP="00A21F3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VII. Информирование населения</w:t>
      </w:r>
    </w:p>
    <w:p w14:paraId="1456A4FD" w14:textId="77777777" w:rsidR="00A21F3B" w:rsidRDefault="00A21F3B" w:rsidP="00A21F3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441A5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Информирование населения об организации деятельности по накоплению на территории Ханты-Мансийского района ТКО, в том числе их раздельному накоплению, осуществляется администрацией Ханты-Мансийского района.</w:t>
      </w:r>
      <w:r>
        <w:rPr>
          <w:rFonts w:ascii="Arial" w:hAnsi="Arial" w:cs="Arial"/>
          <w:color w:val="444444"/>
        </w:rPr>
        <w:br/>
      </w:r>
    </w:p>
    <w:p w14:paraId="4D573893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21. Информирование населения осуществляется с целью популяризации перехода на новую систему обращения с ТКО, мотивации участия в раздельном сборе ТКО, повышения уровня экологического просвещения, формирования экологической культуры в области обращения с ТКО.</w:t>
      </w:r>
      <w:r>
        <w:rPr>
          <w:rFonts w:ascii="Arial" w:hAnsi="Arial" w:cs="Arial"/>
          <w:color w:val="444444"/>
        </w:rPr>
        <w:br/>
      </w:r>
    </w:p>
    <w:p w14:paraId="26222CE1" w14:textId="77777777" w:rsidR="00A21F3B" w:rsidRDefault="00A21F3B" w:rsidP="00A21F3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Информирование населения осуществляется на официальном сайте администрации Ханты-Мансийского района, на информационных стендах администрации Ханты-Мансийского района и администраций сельских поселений Ханты-Мансийского района, а также путем проведения встреч главы Ханты-Мансийского района с населением, в том числе с участием депутатов Думы Ханты-Мансийского района.</w:t>
      </w:r>
    </w:p>
    <w:p w14:paraId="0820868A" w14:textId="77777777" w:rsidR="00A21F3B" w:rsidRDefault="00A21F3B" w:rsidP="00A21F3B">
      <w:pPr>
        <w:rPr>
          <w:szCs w:val="24"/>
        </w:rPr>
      </w:pPr>
    </w:p>
    <w:p w14:paraId="5F23C8F0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1F3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21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21F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1F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21F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21F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21F3B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A21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21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