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54FC" w:rsidRPr="007354FC" w:rsidRDefault="007354FC" w:rsidP="00735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54FC">
        <w:rPr>
          <w:rFonts w:ascii="Times New Roman" w:hAnsi="Times New Roman" w:cs="Times New Roman"/>
          <w:b/>
          <w:sz w:val="24"/>
          <w:szCs w:val="24"/>
        </w:rPr>
        <w:t>Об утверждении Положения о Шиловском государственном природном биологическом заказнике регионального значения (с изменениями на 25 мая 2017 года)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ПРАВИТЕЛЬСТВО АРХАНГЕЛЬСКОЙ ОБЛАСТИ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от 14 июня 2016 года N 215-пп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Об утверждении Положения о Шиловском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государственном природном биологическом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заказнике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регионального значения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(с изменениями на 25 мая 2017 года)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постановлением Правительства Архангельской области от 25 мая 2017 года N 213-пп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В соответствии со статьей 23 Федерального закона от 14 марта 1995 года N ЗЗ-ФЗ «Об особо охраняемых природных территориях», пунктом 2 статьи 12 областного закона от 24 февраля 2015 года N 242-14-ОЗ «Об особо охраняемых природных территориях в Архангельской области», в целях совершенствования развития особо охраняемых природных территорий регионального значения Правительство Архангельской области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1. Утвердить прилагаемое Положение о Шиловском государственном природном биологическом заказнике регионального значения.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Министерству природных ресурсов и лесопромышленного комплекса Архангельской области совместно с государственным бюджетным учреждением Архангельской области «Центр природопользования и охраны окружающей среды» обеспечить внесение сведений о Шиловском государственном природном биологическом заказнике регионального значения в кадастр особо охраняемых природных территорий регионального значения в течение десяти дней со дня вступления в силу настоящего постановления.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3. Признать утратившим силу постановление главы администрации Архангельской области от 12 ноября 2004 года N 183 «О Шиловском, Сольвычегодском и Двинском государственных природных биологических заказниках регионального значения».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через 10 дней со дня его официального опубликования.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Первый заместитель Губернатора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Архангельской области -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А.В.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Алсуфьев</w:t>
      </w:r>
      <w:proofErr w:type="spellEnd"/>
    </w:p>
    <w:p w:rsidR="007354FC" w:rsidRPr="007354FC" w:rsidRDefault="007354FC" w:rsidP="007354F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54FC">
        <w:rPr>
          <w:rFonts w:ascii="Times New Roman" w:hAnsi="Times New Roman" w:cs="Times New Roman"/>
          <w:b/>
          <w:sz w:val="24"/>
          <w:szCs w:val="24"/>
        </w:rPr>
        <w:t>ПОЛОЖЕНИЕ о Шиловском государственном природном биологическом заказнике регионального значения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УТВЕРЖДЕНО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lastRenderedPageBreak/>
        <w:t>от 14 июня 2016 года N 215-пп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</w:t>
      </w:r>
      <w:proofErr w:type="gramEnd"/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Архангельской области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от 25 мая 2017 года N 213-пп -</w:t>
      </w:r>
    </w:p>
    <w:p w:rsidR="007354FC" w:rsidRPr="007354FC" w:rsidRDefault="007354FC" w:rsidP="007354FC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ПОЛОЖЕНИЕ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 Шиловском государственном природном</w:t>
      </w: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биологическом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заказнике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регионального значения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Настоящее Положение, разработанное в соответствии со статьей 23 Федерального закона от 14 марта 1995 года N ЗЗ-ФЗ «Об особо охраняемых природных территориях», пунктом 2 статьи 12 областного закона от 24 февраля 2015 года N 242-14-ОЗ «Об особо охраняемых природных территориях в Архангельской области», определяет границы Шиловского государственного природного биологического заказника регионального значения (далее - заказник), режим особой охраны заказника.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2. Заказник образован с целью сохранения, воспроизводства и восстановления крупных копытных северного оленя и лося, а также ценных в хозяйственном, научном отношениях редких и исчезающих видов флоры и фауны, мест их обитания и поддержания общего экологического баланса.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Краткая характеристика заказника и краткое описание основных объектов его охраны приведены в приложении N 1 к настоящему Положению.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3. Заказник расположен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Красноборском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муниципальном районе Архангельской области в следующих границах: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северная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- от северо-западного угла кв. 6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лесничества, по северным границам кв. 6, 7, 8, 9, 10 до северо-восточного угла кв. 10;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lastRenderedPageBreak/>
        <w:t>восточная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- от северо-восточного угла кв. 10, по восточным границам кв. 10,18,34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лесничества, кв. 88 и 106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Праводвинского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до юго-восточного угла кв. 106;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южная - от </w:t>
      </w:r>
      <w:proofErr w:type="spellStart"/>
      <w:proofErr w:type="gramStart"/>
      <w:r w:rsidRPr="007354FC">
        <w:rPr>
          <w:rFonts w:ascii="Times New Roman" w:hAnsi="Times New Roman" w:cs="Times New Roman"/>
          <w:sz w:val="24"/>
          <w:szCs w:val="24"/>
        </w:rPr>
        <w:t>юго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восточного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угла кв. 106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Праводвинского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по разделу опушки леса, являющейся южной границей кв. 106, и поймы у протоки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Пермогорский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Полой, по южной границе кв. 87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Праводвинского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лесничества, далее с переходом на правый берег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Пермогорского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Полоя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, по правому берегу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Пермогорского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Полоя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с переходом на правый берег р. Северной Двины, по правому берегу р. Северной Двины до восточной просеки кв. 25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лесничества, включая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Мокину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курью, далее по разделу косогора и поймы до северной границы кв. 25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западная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- по северным границам кв. 25, 26, 27, 28, западным границам кв. 23, 14, 6 до северо-западного угла кв. 6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Площадь заказника составляет 32 676 га, из них площадь земель лесного фонда на территории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Красноборского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лесничества - 30 226 га, площадь пойменной части - 2450 га.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Карта-схема заказника приведена в приложении N 2 к настоящему Положению.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4. Заказник находится в ведении министерства природных ресурсов и лесопромышленного комплекса Архангельской области.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Управление и обеспечение функционирования заказника осуществляет государственное бюджетное учреждение Архангельской области «Центр природопользования и охраны окружающей среды».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5. Объявление территории заказником производится без изъятия у пользователей, владельцев и собственников земельных участков и без ограничения их хозяйственной деятельности, кроме случаев, указанных в пунктах 9-11 настоящего Положения.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II. Организация территории заказника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lastRenderedPageBreak/>
        <w:t>6. На территории заказника устанавливается дифференцированный режим особой охраны по функциональным зонам. Выделение функциональных зон производится исходя из местных, природных, историко-культурных и социальных особенностей.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7. На территории заказника выделены следующие функциональные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зоны: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особо охраняемая зона - в границах кварталов 6 - 10, 14 - 18, 23 - 24, части кварталов 25 - 27 (не включенных в зону познавательного туризма), квартала 28, части квартала 29 (не включенной в зону познавательного туризма), кварталов 30 - 34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Красноборского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лесничества, кварталов 84 - 88, 106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Праводвинского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Красноборского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лесничества; пойма р. Северной Двины от южной границы квартала 87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Праводвинского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лесничества, по правому берегу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Пермогорского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полоя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с переходом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правый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берег р. Северной Двины, по правому берегу р. Северной Двины до южной границы квартала 29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в районе Запани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Толоконка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, включая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Мокину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курью;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зона познавательного туризма (рекреационная зона) - километровая полоса вдоль береговой линии р. Северной Двины (часть кварталов 25 - 27 и 29 до полуквартальной просеки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Черевковского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участкового лесничества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Красноборского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лесничества, не вошедшая в особо охраняемую зону).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III. Режим особой охраны заказника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8. Пользователи, собственники и владельцы земельных участков, которые расположены в границах заказника, обязаны соблюдать установленный в заказнике режим особой охраны.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9. На всей территории заказника запрещается любая деятельность, если она противоречит целям создания заказника или причиняет вред природным комплексам и компонентам, в том числе: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1) въезд, проезд и стоянка всех видов механических транспортных средств вне существующих автомобильных дорог общего пользования, за исключением: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(абзац в редакции постановления Правительства Архангельской области от 25 мая 2017 года N 213-пп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354FC">
        <w:rPr>
          <w:rFonts w:ascii="Times New Roman" w:hAnsi="Times New Roman" w:cs="Times New Roman"/>
          <w:sz w:val="24"/>
          <w:szCs w:val="24"/>
        </w:rPr>
        <w:t>транспортных средств территориальных органов федеральных органов исполнительной власти по Архангельской области, исполнительных органов государственной власти Архангельской области, осуществляющих государственный контроль (надзор), объекты которого расположены на территории заказника, в том числе министерства природных ресурсов и лесопромышленного комплекса Архангельской области и подведомственных ему государственных учреждений Архангельской области, при осуществлении ими государственного контроля (надзора) и иных служебных мероприятий;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транспортных сре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>авоохранительных органов, аварийно-спасательных служб и формирований при выполнении ими служебных мероприятий и (или) аварийно-спасательных работ;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транспортных сре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дств гр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аждан и организаций, имеющих договоры аренды лесного участка или договоры купли-продажи лесных насаждений и осуществляющих вывозку древесины, при движении по существующей лесной дороге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Цивозеро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Ракулка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единой автоколонной (без остановок) по территории заказника, в период с 1 июля по 1 сентября;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транспортных сре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дств гр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>аждан и организаций при проведении санитарно-оздоровительных мероприятий, мероприятий по ликвидации чрезвычайной ситуации в лесах;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2) рубка лесных насаждений, за исключением: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рубок для проведения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рубок при проведении в соответствии со статьей 53.6 Лесного кодекса Российской Федерации мероприятий по ликвидации чрезвычайной ситуации в лесах, возникшей вследствие лесных пожаров;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3) геологическое изучение, разведка и добыча полезных ископаемых;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lastRenderedPageBreak/>
        <w:t>4) строительство зданий, строений и сооружений, дорог и трубопроводов, линий электропередач и прочих коммуникаций, за исключением: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объектов, обеспечивающих функционирование инфраструктуры муниципального образования «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Красноборский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муниципальный район» Архангельской области при отсутствии иных вариантов их размещения;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объектов, обеспечивающих функционирование заказника;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5) организация спортивных и зрелищных мероприятий, туристических стоянок и разведение костров вне специально оборудованных мест;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6) добыча объектов животного мира, не отнесенных к охотничьим ресурсам и водным биологическим ресурсам;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7) охота, за исключением охоты в целях регулирования численности охотничьих ресурсов;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8) разрушение и уничтожение выводковых убежищ животных, сбор яиц;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9) применение ядохимикатов, минеральных удобрений, химических средств защиты растений и стимуляторов роста;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10) интродукция объектов животного и растительного мира в целях их акклиматизации;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11) мелиоративные работы, осушение болот;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12) размещение отходов производства и потребления;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13) выпас скота;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lastRenderedPageBreak/>
        <w:t>14) распашка земель, за исключением небольших площадей для проведения биотехнических мероприятий;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15) уничтожение или порча установленных предупредительных или информационных знаков (аншлагов).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10. В особо охраняемой зоне заказника дополнительно к ограничениям, установленным пунктом 9 настоящего Положения, запрещается: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1) рекреационное использование территории в целях организации отдыха, туризма, физкультурно-оздоровительной и спортивной деятельности;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2) сбор зоологических, ботанических и минералогических коллекций;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3) разведения костров;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4) обустройство экологических троп;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5) оборудование мест для туристических стоянок.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11. Строительство, реконструкция и капитальный ремонт объектов капитального строительства осуществляется в соответствии с законодательством Российской Федерации и Архангельской области.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IV. Региональный государственный надзор в области охраны и использования территории заказника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 xml:space="preserve">Региональный государственный надзор на территории заказника осуществляется министерством природных ресурсов и лесопромышленного комплекса Архангельской области в соответствии с административным регламентом исполнения министерством природных ресурсов и лесопромышленного комплекса Архангельской области государственной функции по осуществлению регионального государственного надзора в области охраны и использования особо охраняемых природных территорий регионального значения на территории Архангельской </w:t>
      </w:r>
      <w:r w:rsidRPr="007354FC">
        <w:rPr>
          <w:rFonts w:ascii="Times New Roman" w:hAnsi="Times New Roman" w:cs="Times New Roman"/>
          <w:sz w:val="24"/>
          <w:szCs w:val="24"/>
        </w:rPr>
        <w:lastRenderedPageBreak/>
        <w:t>области, утвержденным постановлением Правительства Архангельской области от 17 июля 2012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года N 318-пп.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V. Ответственность за нарушение режима особой охраны заказника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13. Лица, виновные в нарушении режима особой охраны заказника, несут ответственность, установленную законодательством Российской Федерации.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Юридические и физические лица, причинившие вред природным объектам, комплексам и их компонентам в границах заказника, обязаны возместить причиненный вред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proofErr w:type="gramEnd"/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VI. Заключение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15. Ликвидация заказника производится в соответствии с областным законом от 24 февраля 2015 года N 242-14-ОЗ «Об особо охраняемых природных территориях в Архангельской области».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54FC">
        <w:rPr>
          <w:rFonts w:ascii="Times New Roman" w:hAnsi="Times New Roman" w:cs="Times New Roman"/>
          <w:b/>
          <w:sz w:val="24"/>
          <w:szCs w:val="24"/>
        </w:rPr>
        <w:t>Приложение 1. КРАТКАЯ ХАРАКТЕРИСТИКА Шиловского государственного природного биологического заказника регионального значения, краткое описание основных объектов его охраны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к Положению о Шиловском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государственном природном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биологическом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заказнике</w:t>
      </w:r>
      <w:proofErr w:type="gramEnd"/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регионального значения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Шиловский государственный природный биологический заказник регионального значения (далее - заказник) целиком расположен в пределах </w:t>
      </w:r>
      <w:proofErr w:type="spellStart"/>
      <w:r w:rsidRPr="007354FC">
        <w:rPr>
          <w:rFonts w:ascii="Times New Roman" w:hAnsi="Times New Roman" w:cs="Times New Roman"/>
          <w:sz w:val="24"/>
          <w:szCs w:val="24"/>
        </w:rPr>
        <w:t>Верхнедвинской</w:t>
      </w:r>
      <w:proofErr w:type="spellEnd"/>
      <w:r w:rsidRPr="007354FC">
        <w:rPr>
          <w:rFonts w:ascii="Times New Roman" w:hAnsi="Times New Roman" w:cs="Times New Roman"/>
          <w:sz w:val="24"/>
          <w:szCs w:val="24"/>
        </w:rPr>
        <w:t xml:space="preserve"> ледниковой равнины. Основными </w:t>
      </w:r>
      <w:r w:rsidRPr="007354FC">
        <w:rPr>
          <w:rFonts w:ascii="Times New Roman" w:hAnsi="Times New Roman" w:cs="Times New Roman"/>
          <w:sz w:val="24"/>
          <w:szCs w:val="24"/>
        </w:rPr>
        <w:lastRenderedPageBreak/>
        <w:t>экосистемами на территории заказника являются леса, болота, пойменные луга, а также водные экосистемы (озера и реки).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Заказник важен для сохранения, воспроизводства и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восстановления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ценных в хозяйственном отношении диких животных, редких и исчезающих видов растений и других организмов, мест их обитания и поддержания общего экологического баланса. Заказник в экологической системе имеет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7354FC">
        <w:rPr>
          <w:rFonts w:ascii="Times New Roman" w:hAnsi="Times New Roman" w:cs="Times New Roman"/>
          <w:sz w:val="24"/>
          <w:szCs w:val="24"/>
        </w:rPr>
        <w:t xml:space="preserve"> как биологический резерват и зона покоя для животных.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Во флоре заказника выявлено 232 вида сосудистых растений, 32 вида мхов и 53 вида лишайников. В фауне заказника обнаружено 2 вида земноводных, 3 вида пресмыкающихся, 85 видов птиц, 21 вид млекопитающих.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В Красную книгу Российской Федерации занесены 3 вида птиц, в Красную книгу Архангельской области - 3 вида птиц и 2 вида млекопитающих.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C17B76" w:rsidRDefault="007354FC" w:rsidP="00C17B7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7B76">
        <w:rPr>
          <w:rFonts w:ascii="Times New Roman" w:hAnsi="Times New Roman" w:cs="Times New Roman"/>
          <w:b/>
          <w:sz w:val="24"/>
          <w:szCs w:val="24"/>
        </w:rPr>
        <w:t>Приложение 2. КАРТА-СХЕМА Шиловского государственного природного биологического заказника регионального значения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к Положению о Шиловском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государственном природном</w:t>
      </w:r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 xml:space="preserve">биологическом </w:t>
      </w:r>
      <w:proofErr w:type="gramStart"/>
      <w:r w:rsidRPr="007354FC">
        <w:rPr>
          <w:rFonts w:ascii="Times New Roman" w:hAnsi="Times New Roman" w:cs="Times New Roman"/>
          <w:sz w:val="24"/>
          <w:szCs w:val="24"/>
        </w:rPr>
        <w:t>заказнике</w:t>
      </w:r>
      <w:proofErr w:type="gramEnd"/>
    </w:p>
    <w:p w:rsidR="007354FC" w:rsidRPr="007354FC" w:rsidRDefault="007354FC" w:rsidP="00C17B76">
      <w:pPr>
        <w:jc w:val="right"/>
        <w:rPr>
          <w:rFonts w:ascii="Times New Roman" w:hAnsi="Times New Roman" w:cs="Times New Roman"/>
          <w:sz w:val="24"/>
          <w:szCs w:val="24"/>
        </w:rPr>
      </w:pPr>
      <w:r w:rsidRPr="007354FC">
        <w:rPr>
          <w:rFonts w:ascii="Times New Roman" w:hAnsi="Times New Roman" w:cs="Times New Roman"/>
          <w:sz w:val="24"/>
          <w:szCs w:val="24"/>
        </w:rPr>
        <w:t>регионального значения</w:t>
      </w: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7354FC" w:rsidRPr="007354FC" w:rsidRDefault="007354FC" w:rsidP="007354FC">
      <w:pPr>
        <w:rPr>
          <w:rFonts w:ascii="Times New Roman" w:hAnsi="Times New Roman" w:cs="Times New Roman"/>
          <w:sz w:val="24"/>
          <w:szCs w:val="24"/>
        </w:rPr>
      </w:pPr>
    </w:p>
    <w:p w:rsidR="00CE5DEF" w:rsidRPr="00E03B18" w:rsidRDefault="00CE5DEF" w:rsidP="00266C9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fa6a8421cab439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