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5875FD" w14:textId="77777777" w:rsidR="009769E7" w:rsidRDefault="009769E7" w:rsidP="009769E7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АДМИНИСТРАЦИЯ ТЮМЕНСКОЙ ОБЛАСТИ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ПОСТАНОВЛЕНИЕ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от 9 марта 2005 года N 33-пк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 Порядке ведения Красной книги Тюменской области</w:t>
      </w:r>
    </w:p>
    <w:p w14:paraId="00B36E43" w14:textId="77777777" w:rsidR="009769E7" w:rsidRDefault="009769E7" w:rsidP="009769E7">
      <w:pPr>
        <w:pStyle w:val="formattext"/>
        <w:spacing w:before="0" w:beforeAutospacing="0" w:after="0" w:afterAutospacing="0"/>
        <w:jc w:val="center"/>
        <w:textAlignment w:val="baseline"/>
      </w:pPr>
      <w:r>
        <w:t>(с изменениями на 17 сентября 2018 года)</w:t>
      </w:r>
    </w:p>
    <w:p w14:paraId="7E99C3D9" w14:textId="77777777" w:rsidR="009769E7" w:rsidRDefault="009769E7" w:rsidP="009769E7">
      <w:pPr>
        <w:pStyle w:val="formattext"/>
        <w:spacing w:before="0" w:beforeAutospacing="0" w:after="0" w:afterAutospacing="0"/>
        <w:jc w:val="center"/>
        <w:textAlignment w:val="baseline"/>
      </w:pPr>
      <w:r>
        <w:t>(в ред. постановлений Правительства Тюменской области от 07.11.2005 N 218-п, от 15.03.2006 N 53-п, от 13.07.2009 N 202-п, от 16.01.2012 N 10-п, от 22.10.2012 N 442-п, от 17.12.2012 N 536-п, от 13.01.2014 N 13-п, от 17.09.2018 N 365-п)</w:t>
      </w:r>
    </w:p>
    <w:p w14:paraId="6BFB4EEC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  <w:r>
        <w:br/>
      </w:r>
      <w:r>
        <w:br/>
      </w:r>
    </w:p>
    <w:p w14:paraId="230F991D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В соответствии с Федеральным законом от 06.10.1999 N 184-ФЗ "Об общих принципах организации законодательных (представительных) и исполнительных органов государственной власти субъектов РФ", Законом Тюменской области от 28.12.2004 N 302 "Об охране окружающей среды в Тюменской области":</w:t>
      </w:r>
      <w:r>
        <w:br/>
      </w:r>
    </w:p>
    <w:p w14:paraId="2871BE3C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2E9BCF53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Тюменской области от 13.07.2009 N 202-п)</w:t>
      </w:r>
      <w:r>
        <w:br/>
      </w:r>
    </w:p>
    <w:p w14:paraId="2A6D8097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45EAE7BD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1. Утвердить Порядок ведения Красной книги Тюменской области согласно приложению к настоящему постановлению.</w:t>
      </w:r>
      <w:r>
        <w:br/>
      </w:r>
    </w:p>
    <w:p w14:paraId="5FC9110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3FA0264B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Тюменской области от 17.09.2018 N 365-п)</w:t>
      </w:r>
      <w:r>
        <w:br/>
      </w:r>
    </w:p>
    <w:p w14:paraId="7DE9EDC6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1253BFA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2. Утратил силу. - Постановление Правительства Тюменской области от 13.07.2009 N 202-п.</w:t>
      </w:r>
      <w:r>
        <w:br/>
      </w:r>
    </w:p>
    <w:p w14:paraId="31ECA49D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5E73FC4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3. Контроль за исполнением настоящего постановления возложить на заместителя Губернатора Тюменской области, координирующего и контролирующего деятельность Департамента недропользования и экологии Тюменской области.</w:t>
      </w:r>
      <w:r>
        <w:br/>
      </w:r>
    </w:p>
    <w:p w14:paraId="22A29A3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530423E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(п. 3 в ред. постановления Правительства Тюменской области от 17.09.2018 N 365-п)</w:t>
      </w:r>
      <w:r>
        <w:br/>
      </w:r>
    </w:p>
    <w:p w14:paraId="60E3080C" w14:textId="77777777" w:rsidR="009769E7" w:rsidRDefault="009769E7" w:rsidP="009769E7">
      <w:pPr>
        <w:pStyle w:val="formattext"/>
        <w:spacing w:before="0" w:beforeAutospacing="0" w:after="0" w:afterAutospacing="0"/>
        <w:jc w:val="right"/>
        <w:textAlignment w:val="baseline"/>
      </w:pPr>
      <w:r>
        <w:br/>
      </w:r>
      <w:r>
        <w:br/>
        <w:t>Вице-Губернатор области</w:t>
      </w:r>
      <w:r>
        <w:br/>
        <w:t>В.В.ЯКУШЕВ</w:t>
      </w:r>
    </w:p>
    <w:p w14:paraId="00B8A31C" w14:textId="77777777" w:rsidR="009769E7" w:rsidRDefault="009769E7" w:rsidP="009769E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Приложение</w:t>
      </w:r>
      <w:r>
        <w:rPr>
          <w:sz w:val="24"/>
          <w:szCs w:val="24"/>
        </w:rPr>
        <w:br/>
        <w:t>к постановлению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>Администрации Тюменской области</w:t>
      </w:r>
      <w:r>
        <w:rPr>
          <w:sz w:val="24"/>
          <w:szCs w:val="24"/>
        </w:rPr>
        <w:br/>
        <w:t>от 9 марта 2005 г. N 33-пк</w:t>
      </w:r>
    </w:p>
    <w:p w14:paraId="4656081E" w14:textId="77777777" w:rsidR="009769E7" w:rsidRDefault="009769E7" w:rsidP="009769E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  <w:t>ПОРЯДОК ВЕДЕНИЯ КРАСНОЙ КНИГИ ТЮМЕНСКОЙ ОБЛАСТИ</w:t>
      </w:r>
    </w:p>
    <w:p w14:paraId="6D824169" w14:textId="77777777" w:rsidR="009769E7" w:rsidRDefault="009769E7" w:rsidP="009769E7">
      <w:pPr>
        <w:pStyle w:val="formattext"/>
        <w:spacing w:before="0" w:beforeAutospacing="0" w:after="0" w:afterAutospacing="0"/>
        <w:jc w:val="center"/>
        <w:textAlignment w:val="baseline"/>
      </w:pPr>
      <w:r>
        <w:t>(в ред. постановлений Правительства Тюменской области от 07.11.2005 N 218-п, от 13.07.2009 N 202-п, от 16.01.2012 N 10-п, от 22.10.2012 N 442-п, от 17.12.2012 N 536-п, от 13.01.2014 N 13-п, от 17.09.2018 N 365-п)</w:t>
      </w:r>
    </w:p>
    <w:p w14:paraId="39144EA2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I. Общая часть</w:t>
      </w:r>
    </w:p>
    <w:p w14:paraId="5B196F7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79D74262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1.1. Красная книга Тюменской области является официальным документом, содержащим свод сведений о состоянии, распространении и мерах охраны редких и находящихся под угрозой исчезновения видов (подвидов, популяций) диких животных, дикорастущих растений, грибов и лишайников (далее - объекты животного и растительного мира), обитающих (произрастающих) в Тюменской области.</w:t>
      </w:r>
      <w:r>
        <w:br/>
      </w:r>
    </w:p>
    <w:p w14:paraId="521AB558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65ABC1A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Тюменской области от 22.10.2012 N 442-п)</w:t>
      </w:r>
      <w:r>
        <w:br/>
      </w:r>
    </w:p>
    <w:p w14:paraId="093188A7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4C5425BD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1.2. Красная книга Тюменской области ведется Департаментом недропользования и экологии Тюменской области (далее - Департамент) во взаимодействии с территориальными подразделениями федеральных органов исполнительной власти Российской Федерации, осуществляющими государственное управление в сфере охраны окружающей среды и природных ресурсов.</w:t>
      </w:r>
      <w:r>
        <w:br/>
      </w:r>
    </w:p>
    <w:p w14:paraId="5338B0E8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40E787AD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постановлений Правительства Тюменской области от 07.11.2005 N 218-п, от 17.09.2018 N 365-п)</w:t>
      </w:r>
      <w:r>
        <w:br/>
      </w:r>
    </w:p>
    <w:p w14:paraId="0D4CD80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5809739E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1.3. Для решения вопросов, связанных с ведением Красной книги Тюменской области, при Департаменте создается комиссия по охране и восстановлению редких и находящихся под угрозой исчезновения животных, растений и грибов Тюменской области (далее - Комиссия).</w:t>
      </w:r>
      <w:r>
        <w:br/>
      </w:r>
    </w:p>
    <w:p w14:paraId="7DA548C4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48E57546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Тюменской области от 22.10.2012 N 442-п)</w:t>
      </w:r>
      <w:r>
        <w:br/>
      </w:r>
    </w:p>
    <w:p w14:paraId="25D0D1D4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II. Основные мероприятия по ведению Красной книги Тюменской области</w:t>
      </w:r>
    </w:p>
    <w:p w14:paraId="570E6BDC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5F4CB973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2.1. Ведение Красной книги Тюменской области включает:</w:t>
      </w:r>
      <w:r>
        <w:br/>
      </w:r>
    </w:p>
    <w:p w14:paraId="1D736B83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6FF0484B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сбор и анализ данных об объектах животного и растительного мира;</w:t>
      </w:r>
      <w:r>
        <w:br/>
      </w:r>
    </w:p>
    <w:p w14:paraId="70125EED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0BD0A9B4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создание и ведение банка данных по объектам животного и растительного мира;</w:t>
      </w:r>
      <w:r>
        <w:br/>
      </w:r>
    </w:p>
    <w:p w14:paraId="5F0B1EC1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48A7AD13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занесение в установленном порядке в Красную книгу Тюменской области (или исключение из нее) объектов животного или растительного мира;</w:t>
      </w:r>
      <w:r>
        <w:br/>
      </w:r>
    </w:p>
    <w:p w14:paraId="63A79F5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3099E7D0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подготовку к изданию, издание и распространение Красной книги Тюменской области;</w:t>
      </w:r>
      <w:r>
        <w:br/>
      </w:r>
    </w:p>
    <w:p w14:paraId="1B5EEA69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23537B70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подготовку и реализацию предложений по специальным мерам охраны, включая организацию особо охраняемых природных территорий и генетических банков с целью сохранения объектов животного и растительного мира, занесенных в Красную книгу Тюменской области;</w:t>
      </w:r>
      <w:r>
        <w:br/>
      </w:r>
    </w:p>
    <w:p w14:paraId="54B3417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7BE45563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выдачу разрешений на добывание объектов животного и растительного мира, занесенных в Красную книгу Тюменской области (за исключением объектов, включенных в Красные книги Российской Федерации и Международного союза охраны природы и природных ресурсов, а также подпадающих под действие международных соглашений и конвенций), в установленном порядке.</w:t>
      </w:r>
      <w:r>
        <w:br/>
      </w:r>
    </w:p>
    <w:p w14:paraId="01ACB646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59D93FEB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Тюменской области от 07.11.2005 N 218-п)</w:t>
      </w:r>
      <w:r>
        <w:br/>
      </w:r>
    </w:p>
    <w:p w14:paraId="7E7605D1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III. Сбор и анализ данных об объектах животного и растительного мира, занесенных или рекомендуемых к занесению в Красную книгу Тюменской области</w:t>
      </w:r>
    </w:p>
    <w:p w14:paraId="10CA25E7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361CD5E0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3.1. Сбор и анализ данных об объектах животного и растительного мира, занесенных или рекомендуемых к занесению в Красную книгу Тюменской области, обеспечиваются в результате проведения исследований и мониторинга их состояния.</w:t>
      </w:r>
      <w:r>
        <w:br/>
      </w:r>
    </w:p>
    <w:p w14:paraId="0B45CCB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</w:pPr>
    </w:p>
    <w:p w14:paraId="0FCC4AC0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</w:pPr>
      <w:r>
        <w:t>3.2. Сбор данных о распространении, местах обитания, образе жизни, биологии, численности, лимитирующих факторах, принятых и необходимых мерах по охране и восстановлению объектов животного и растительного мира, об изменении условий их обитания осуществляется организациями и гражданами, связанными по роду своей деятельности с изучением и охраной объектов животного и растительного мира.</w:t>
      </w:r>
      <w:r>
        <w:br/>
      </w:r>
    </w:p>
    <w:p w14:paraId="2B5C644B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IV. Организация мониторинга объектов животного и растительного мира, занесенных в Красную книгу Тюменской области</w:t>
      </w:r>
    </w:p>
    <w:p w14:paraId="12806219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Мониторинг объектов животного и растительного мира представляет собой систему регулярных наблюдений за распространением, численностью, </w:t>
      </w:r>
      <w:r>
        <w:rPr>
          <w:rFonts w:ascii="Arial" w:hAnsi="Arial" w:cs="Arial"/>
          <w:color w:val="444444"/>
        </w:rPr>
        <w:lastRenderedPageBreak/>
        <w:t>состоянием указанных объектов, структурой, качеством и площадью среды их обитания.</w:t>
      </w:r>
      <w:r>
        <w:rPr>
          <w:rFonts w:ascii="Arial" w:hAnsi="Arial" w:cs="Arial"/>
          <w:color w:val="444444"/>
        </w:rPr>
        <w:br/>
      </w:r>
    </w:p>
    <w:p w14:paraId="62400C2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203C44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Ведение мониторинга состояния объектов животного и растительного мира организует Департамент во взаимодействии с территориальными органами федеральных органов исполнительной власти, осуществляющими государственное управление в сфере охраны окружающей среды и природных ресурсов, а также с исполнительными органами государственной власти Тюменской области, осуществляющими управление в сфере охраны объектов животного мира.</w:t>
      </w:r>
      <w:r>
        <w:rPr>
          <w:rFonts w:ascii="Arial" w:hAnsi="Arial" w:cs="Arial"/>
          <w:color w:val="444444"/>
        </w:rPr>
        <w:br/>
      </w:r>
    </w:p>
    <w:p w14:paraId="45B4EAB3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9CA161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13.07.2009 N 202-п, от 17.09.2018 N 365-п)</w:t>
      </w:r>
      <w:r>
        <w:rPr>
          <w:rFonts w:ascii="Arial" w:hAnsi="Arial" w:cs="Arial"/>
          <w:color w:val="444444"/>
        </w:rPr>
        <w:br/>
      </w:r>
    </w:p>
    <w:p w14:paraId="3BE7E399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34AD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Мониторинг объектов животного и растительного мира является неотъемлемой частью единой территориальной системы государственного экологического мониторинга Тюменской области.</w:t>
      </w:r>
      <w:r>
        <w:rPr>
          <w:rFonts w:ascii="Arial" w:hAnsi="Arial" w:cs="Arial"/>
          <w:color w:val="444444"/>
        </w:rPr>
        <w:br/>
      </w:r>
    </w:p>
    <w:p w14:paraId="612BB170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2F585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16.01.2012 N 10-п)</w:t>
      </w:r>
      <w:r>
        <w:rPr>
          <w:rFonts w:ascii="Arial" w:hAnsi="Arial" w:cs="Arial"/>
          <w:color w:val="444444"/>
        </w:rPr>
        <w:br/>
      </w:r>
    </w:p>
    <w:p w14:paraId="77D1D55E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Создание и пополнение банка данных по объектам животного и растительного мира, занесенным в Красную книгу Тюменской области</w:t>
      </w:r>
    </w:p>
    <w:p w14:paraId="47F3601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BB7188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Организация сбора научных данных по объектам животного и растительного мира, принадлежащим к видам, занесенным в Красную книгу Тюменской области, их анализ и хранение, создание и пополнение банка данных по указанным объектам производится Департаментом, который осуществляет обобщение соответствующей информации и готовит предложения по ведению Красной книги Тюменской области.</w:t>
      </w:r>
      <w:r>
        <w:rPr>
          <w:rFonts w:ascii="Arial" w:hAnsi="Arial" w:cs="Arial"/>
          <w:color w:val="444444"/>
        </w:rPr>
        <w:br/>
      </w:r>
    </w:p>
    <w:p w14:paraId="57FF5A4D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Порядок занесения объектов животного и растительного мира в Красную книгу Тюменской области</w:t>
      </w:r>
    </w:p>
    <w:p w14:paraId="7A382B63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E578FD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В Красную книгу Тюменской области заносятся объекты животного и растительного мира, постоянно или временно обитающие или произрастающие в естественных условиях на территории (акватории) Тюменской области, которые подлежат особой охране.</w:t>
      </w:r>
      <w:r>
        <w:rPr>
          <w:rFonts w:ascii="Arial" w:hAnsi="Arial" w:cs="Arial"/>
          <w:color w:val="444444"/>
        </w:rPr>
        <w:br/>
      </w:r>
    </w:p>
    <w:p w14:paraId="195F5DD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022C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В Красную книгу Тюменской области включаются объекты животного и растительного мира, отвечающие следующим условиям:</w:t>
      </w:r>
      <w:r>
        <w:rPr>
          <w:rFonts w:ascii="Arial" w:hAnsi="Arial" w:cs="Arial"/>
          <w:color w:val="444444"/>
        </w:rPr>
        <w:br/>
      </w:r>
    </w:p>
    <w:p w14:paraId="6C63EB8F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0CC1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объекты животного и растительного мира, нуждающиеся в специальных мерах охраны, а именно:</w:t>
      </w:r>
      <w:r>
        <w:rPr>
          <w:rFonts w:ascii="Arial" w:hAnsi="Arial" w:cs="Arial"/>
          <w:color w:val="444444"/>
        </w:rPr>
        <w:br/>
      </w:r>
    </w:p>
    <w:p w14:paraId="46B2E4B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D80E5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находящиеся под угрозой исчезновения;</w:t>
      </w:r>
      <w:r>
        <w:rPr>
          <w:rFonts w:ascii="Arial" w:hAnsi="Arial" w:cs="Arial"/>
          <w:color w:val="444444"/>
        </w:rPr>
        <w:br/>
      </w:r>
    </w:p>
    <w:p w14:paraId="3346BC6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70593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уязвимые, </w:t>
      </w:r>
      <w:proofErr w:type="spellStart"/>
      <w:r>
        <w:rPr>
          <w:rFonts w:ascii="Arial" w:hAnsi="Arial" w:cs="Arial"/>
          <w:color w:val="444444"/>
        </w:rPr>
        <w:t>узкоэндемичные</w:t>
      </w:r>
      <w:proofErr w:type="spellEnd"/>
      <w:r>
        <w:rPr>
          <w:rFonts w:ascii="Arial" w:hAnsi="Arial" w:cs="Arial"/>
          <w:color w:val="444444"/>
        </w:rPr>
        <w:t>, эндемичные, редкие объекты животного и растительного мира, охрана которых нужна для сохранения флоры и фауны различных природно-климатических зон;</w:t>
      </w:r>
      <w:r>
        <w:rPr>
          <w:rFonts w:ascii="Arial" w:hAnsi="Arial" w:cs="Arial"/>
          <w:color w:val="444444"/>
        </w:rPr>
        <w:br/>
      </w:r>
    </w:p>
    <w:p w14:paraId="775DB4C9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D81C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реальная или потенциальная хозяйственная ценность которых установлена и при существующих темпах эксплуатации их запасы поставлены на грань исчезновения;</w:t>
      </w:r>
      <w:r>
        <w:rPr>
          <w:rFonts w:ascii="Arial" w:hAnsi="Arial" w:cs="Arial"/>
          <w:color w:val="444444"/>
        </w:rPr>
        <w:br/>
      </w:r>
    </w:p>
    <w:p w14:paraId="129955D7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ECDB5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которым не требуется срочных мер охраны, но необходим государственный контроль за их состоянием в силу их уязвимости (обитающие на краю ареала, естественно редкие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5EA65FDC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86339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объекты животного и растительного мира, подпадающие под действие международных соглашений и конвенций;</w:t>
      </w:r>
      <w:r>
        <w:rPr>
          <w:rFonts w:ascii="Arial" w:hAnsi="Arial" w:cs="Arial"/>
          <w:color w:val="444444"/>
        </w:rPr>
        <w:br/>
      </w:r>
    </w:p>
    <w:p w14:paraId="4FC3558D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5E5E1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объекты животного и растительного мира, занесенные в Красные книги Российской Федерации и Международного союза охраны природы и природных ресурсов (МСОП).</w:t>
      </w:r>
      <w:r>
        <w:rPr>
          <w:rFonts w:ascii="Arial" w:hAnsi="Arial" w:cs="Arial"/>
          <w:color w:val="444444"/>
        </w:rPr>
        <w:br/>
      </w:r>
    </w:p>
    <w:p w14:paraId="4440B28B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E551E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Предложения юридических и физических лиц о занесении в Красную книгу Тюменской области или об исключении из Красной книги Тюменской области, а также о переводе из одной категории статуса редкости в другую того или иного объекта животного и растительного мира направляются в Департамент в письменной или электронной форме и подлежат обязательной регистрации в день их поступления.</w:t>
      </w:r>
      <w:r>
        <w:rPr>
          <w:rFonts w:ascii="Arial" w:hAnsi="Arial" w:cs="Arial"/>
          <w:color w:val="444444"/>
        </w:rPr>
        <w:br/>
      </w:r>
    </w:p>
    <w:p w14:paraId="1DE4127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A59D19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течение 30 календарных дней со дня регистрации Департамент рассматривает поступившие предложения и письменно уведомляет лиц, подавших предложения, о направлении материалов в Комиссию.</w:t>
      </w:r>
      <w:r>
        <w:rPr>
          <w:rFonts w:ascii="Arial" w:hAnsi="Arial" w:cs="Arial"/>
          <w:color w:val="444444"/>
        </w:rPr>
        <w:br/>
      </w:r>
    </w:p>
    <w:p w14:paraId="5988B810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A163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17.09.2018 N 365-п)</w:t>
      </w:r>
      <w:r>
        <w:rPr>
          <w:rFonts w:ascii="Arial" w:hAnsi="Arial" w:cs="Arial"/>
          <w:color w:val="444444"/>
        </w:rPr>
        <w:br/>
      </w:r>
    </w:p>
    <w:p w14:paraId="370395CC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968E26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указанный срок Департамент формирует материалы по объектам животного и растительного мира с предложениями о занесении (исключении) того или иного объекта растительного или животного мира, а также о переводе из одной </w:t>
      </w:r>
      <w:r>
        <w:rPr>
          <w:rFonts w:ascii="Arial" w:hAnsi="Arial" w:cs="Arial"/>
          <w:color w:val="444444"/>
        </w:rPr>
        <w:lastRenderedPageBreak/>
        <w:t>категории статуса редкости в другую и направляет их в Комиссию для обсуждения, подготовки рекомендаций на основе экспертных оценок и (или) научных исследований и принятия решения.</w:t>
      </w:r>
      <w:r>
        <w:rPr>
          <w:rFonts w:ascii="Arial" w:hAnsi="Arial" w:cs="Arial"/>
          <w:color w:val="444444"/>
        </w:rPr>
        <w:br/>
      </w:r>
    </w:p>
    <w:p w14:paraId="6DD815E1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C3CE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Поступившие в Комиссию материалы подлежат рассмотрению на заседании Комиссии в срок, не превышающий шести месяцев со дня их поступления.</w:t>
      </w:r>
      <w:r>
        <w:rPr>
          <w:rFonts w:ascii="Arial" w:hAnsi="Arial" w:cs="Arial"/>
          <w:color w:val="444444"/>
        </w:rPr>
        <w:br/>
      </w:r>
    </w:p>
    <w:p w14:paraId="5749D7A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37BD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принятия соответствующего решения в течение пяти календарных дней со дня заседания Комиссии протокол заседания Комиссии направляется в Департамент.</w:t>
      </w:r>
      <w:r>
        <w:rPr>
          <w:rFonts w:ascii="Arial" w:hAnsi="Arial" w:cs="Arial"/>
          <w:color w:val="444444"/>
        </w:rPr>
        <w:br/>
      </w:r>
    </w:p>
    <w:p w14:paraId="20137E5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38EA7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направившие предложения, письменно информируются Департаментом о принятом Комиссией решении в течение 10 календарных дней со дня его принятия.</w:t>
      </w:r>
      <w:r>
        <w:rPr>
          <w:rFonts w:ascii="Arial" w:hAnsi="Arial" w:cs="Arial"/>
          <w:color w:val="444444"/>
        </w:rPr>
        <w:br/>
      </w:r>
    </w:p>
    <w:p w14:paraId="02E4607B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5610E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17.09.2018 N 365-п)</w:t>
      </w:r>
      <w:r>
        <w:rPr>
          <w:rFonts w:ascii="Arial" w:hAnsi="Arial" w:cs="Arial"/>
          <w:color w:val="444444"/>
        </w:rPr>
        <w:br/>
      </w:r>
    </w:p>
    <w:p w14:paraId="16D3F718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B1787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6.3 в ред. постановления Правительства Тюменской области от 13.01.2014 N 13-п)</w:t>
      </w:r>
      <w:r>
        <w:rPr>
          <w:rFonts w:ascii="Arial" w:hAnsi="Arial" w:cs="Arial"/>
          <w:color w:val="444444"/>
        </w:rPr>
        <w:br/>
      </w:r>
    </w:p>
    <w:p w14:paraId="10827EA5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1494B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Основанием для занесения в Красную книгу Тюменской области или изменения категории статуса редкости того или иного объекта животного или растительного мира служат данные об опасном сокращении его численности и (или) ареала, о неблагоприятных изменениях условий 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  <w:r>
        <w:rPr>
          <w:rFonts w:ascii="Arial" w:hAnsi="Arial" w:cs="Arial"/>
          <w:color w:val="444444"/>
        </w:rPr>
        <w:br/>
      </w:r>
    </w:p>
    <w:p w14:paraId="58A5BBC7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21B31B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Основанием для исключения из Красной книги Тюменской области или изменения категории статуса редкости того или иного объекта животного или растительного мира служат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а также в случае его исчезновения на территории области или безвозвратной потери (вымирания).</w:t>
      </w:r>
      <w:r>
        <w:rPr>
          <w:rFonts w:ascii="Arial" w:hAnsi="Arial" w:cs="Arial"/>
          <w:color w:val="444444"/>
        </w:rPr>
        <w:br/>
      </w:r>
    </w:p>
    <w:p w14:paraId="4CE10FA3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21D194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6.6. Решение Комиссии о занесении в Красную книгу Тюменской области или исключении из Красной книги Тюменской области, а также об изменении категории статуса редкости того или иного объекта животного или растительного мира утверждается постановлением Правительства области. Объект растительного или животного мира считается занесенным в Красную книгу Тюменской области или исключенным из Красной книги Тюменской области, а категория статуса редкости того или иного объекта животного или растительного мира считается измененной со дня официального опубликования </w:t>
      </w:r>
      <w:r>
        <w:rPr>
          <w:rFonts w:ascii="Arial" w:hAnsi="Arial" w:cs="Arial"/>
          <w:color w:val="444444"/>
        </w:rPr>
        <w:lastRenderedPageBreak/>
        <w:t>соответствующего постановления Правительства области.</w:t>
      </w:r>
      <w:r>
        <w:rPr>
          <w:rFonts w:ascii="Arial" w:hAnsi="Arial" w:cs="Arial"/>
          <w:color w:val="444444"/>
        </w:rPr>
        <w:br/>
      </w:r>
    </w:p>
    <w:p w14:paraId="39721426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7BD988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22.10.2012 N 442-п, от 17.12.2012 N 536-п)</w:t>
      </w:r>
      <w:r>
        <w:rPr>
          <w:rFonts w:ascii="Arial" w:hAnsi="Arial" w:cs="Arial"/>
          <w:color w:val="444444"/>
        </w:rPr>
        <w:br/>
      </w:r>
    </w:p>
    <w:p w14:paraId="72552D8A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VII. Подготовка к изданию, издание и распространение Красной книги Тюменской области</w:t>
      </w:r>
    </w:p>
    <w:p w14:paraId="48C0FFFE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98CA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Департамент организует подготовку к изданию, издание и распространение Красной книги Тюменской области (в </w:t>
      </w:r>
      <w:proofErr w:type="gramStart"/>
      <w:r>
        <w:rPr>
          <w:rFonts w:ascii="Arial" w:hAnsi="Arial" w:cs="Arial"/>
          <w:color w:val="444444"/>
        </w:rPr>
        <w:t>т.ч.</w:t>
      </w:r>
      <w:proofErr w:type="gramEnd"/>
      <w:r>
        <w:rPr>
          <w:rFonts w:ascii="Arial" w:hAnsi="Arial" w:cs="Arial"/>
          <w:color w:val="444444"/>
        </w:rPr>
        <w:t xml:space="preserve"> на электронных носителях), а также издание отдельных публикаций на ее основе и распространение материалов по Красной книге Тюменской области.</w:t>
      </w:r>
      <w:r>
        <w:rPr>
          <w:rFonts w:ascii="Arial" w:hAnsi="Arial" w:cs="Arial"/>
          <w:color w:val="444444"/>
        </w:rPr>
        <w:br/>
      </w:r>
    </w:p>
    <w:p w14:paraId="680623FB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9F464C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Издание Красной книги Тюменской области осуществляется не реже одного раза в 15 лет.</w:t>
      </w:r>
      <w:r>
        <w:rPr>
          <w:rFonts w:ascii="Arial" w:hAnsi="Arial" w:cs="Arial"/>
          <w:color w:val="444444"/>
        </w:rPr>
        <w:br/>
      </w:r>
    </w:p>
    <w:p w14:paraId="4F58C3F3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62222A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Часть тиража издания Красной книги Тюменской области направляется областным органам исполнительной и законодательной власти, территориальным органам федеральных служб и агентств, осуществляющих управление в сфере природопользования и охраны окружающей среды, муниципальным образованиям, другим заинтересованным организациям и учреждениям для использования в работе.</w:t>
      </w:r>
      <w:r>
        <w:rPr>
          <w:rFonts w:ascii="Arial" w:hAnsi="Arial" w:cs="Arial"/>
          <w:color w:val="444444"/>
        </w:rPr>
        <w:br/>
      </w:r>
    </w:p>
    <w:p w14:paraId="1EC5536A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1DDF27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Для оперативного планирования мероприятий по сохранению и восстановлению редких и находящихся под угрозой исчезновения объектов животного и растительного мира, независимо от издания и распространения Красной книги Тюменской области, Департамент в периоды между изданиями обеспечивает подготовку и распространение перечней (списков) объектов животного и растительного мира, занесенных в Красную книгу Тюменской области и исключенных из нее (с изменениями и дополнениями), которые являются составной частью Красной книги Тюменской области.</w:t>
      </w:r>
      <w:r>
        <w:rPr>
          <w:rFonts w:ascii="Arial" w:hAnsi="Arial" w:cs="Arial"/>
          <w:color w:val="444444"/>
        </w:rPr>
        <w:br/>
      </w:r>
    </w:p>
    <w:p w14:paraId="7C06A63E" w14:textId="77777777" w:rsidR="009769E7" w:rsidRDefault="009769E7" w:rsidP="009769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VIII. Подготовка предложений по специальным мерам охраны, включая организацию особо охраняемых природных территорий и генетических банков, и их реализации</w:t>
      </w:r>
    </w:p>
    <w:p w14:paraId="262498E1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9A90E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Департамент во взаимодействии с территориальными подразделениями федеральных органов исполнительной власти, осуществляющими государственное управление в сфере охраны окружающей среды и природных ресурсов, а также с исполнительными органами государственной власти Тюменской области, осуществляющими управление в сфере охраны объектов животного мира, определяет меры охраны объектов животного и растительного мира, занесенных в Красную книгу Тюменской области, включая организацию </w:t>
      </w:r>
      <w:r>
        <w:rPr>
          <w:rFonts w:ascii="Arial" w:hAnsi="Arial" w:cs="Arial"/>
          <w:color w:val="444444"/>
        </w:rPr>
        <w:lastRenderedPageBreak/>
        <w:t>особо охраняемых природных территорий и создание генетических банков.</w:t>
      </w:r>
      <w:r>
        <w:rPr>
          <w:rFonts w:ascii="Arial" w:hAnsi="Arial" w:cs="Arial"/>
          <w:color w:val="444444"/>
        </w:rPr>
        <w:br/>
      </w:r>
    </w:p>
    <w:p w14:paraId="3EA77C91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29188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13.07.2009 N 202-п, от 17.09.2018 N 365-п)</w:t>
      </w:r>
      <w:r>
        <w:rPr>
          <w:rFonts w:ascii="Arial" w:hAnsi="Arial" w:cs="Arial"/>
          <w:color w:val="444444"/>
        </w:rPr>
        <w:br/>
      </w:r>
    </w:p>
    <w:p w14:paraId="7275D37D" w14:textId="77777777" w:rsidR="009769E7" w:rsidRDefault="009769E7" w:rsidP="009769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3F4E62" w14:textId="77777777" w:rsidR="009769E7" w:rsidRDefault="009769E7" w:rsidP="009769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Мероприятия по сохранению указанных объектов животного и растительного мира и мест их обитания проводят природопользователи, юридические и физические лица, деятельность которых связана с изучением, охраной, восстановлением и использованием объектов животного и растительного мира, занесенных в Красную книгу Тюменской области.</w:t>
      </w:r>
    </w:p>
    <w:p w14:paraId="70AED5B2" w14:textId="77777777" w:rsidR="009769E7" w:rsidRDefault="009769E7" w:rsidP="009769E7"/>
    <w:p w14:paraId="09932373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69E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769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769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69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69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76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76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