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C0E14EB" w14:textId="77777777" w:rsidR="0095759E" w:rsidRDefault="0095759E" w:rsidP="0095759E">
      <w:pPr>
        <w:textAlignment w:val="baseline"/>
        <w:rPr>
          <w:rFonts w:ascii="Arial" w:hAnsi="Arial" w:cs="Arial"/>
          <w:color w:val="FFFFFF"/>
          <w:sz w:val="20"/>
          <w:szCs w:val="20"/>
        </w:rPr>
      </w:pPr>
      <w:r>
        <w:rPr>
          <w:rFonts w:ascii="Arial" w:hAnsi="Arial" w:cs="Arial"/>
          <w:color w:val="444444"/>
          <w:sz w:val="23"/>
          <w:szCs w:val="23"/>
        </w:rPr>
        <w:t> </w:t>
      </w:r>
    </w:p>
    <w:p w14:paraId="43456D7D" w14:textId="77777777" w:rsidR="0095759E" w:rsidRDefault="0095759E" w:rsidP="0095759E">
      <w:pPr>
        <w:pStyle w:val="2"/>
        <w:spacing w:before="0" w:after="240" w:line="330" w:lineRule="atLeast"/>
        <w:jc w:val="center"/>
        <w:textAlignment w:val="baseline"/>
        <w:rPr>
          <w:rFonts w:ascii="Arial" w:hAnsi="Arial" w:cs="Arial"/>
          <w:color w:val="444444"/>
          <w:sz w:val="24"/>
          <w:szCs w:val="24"/>
        </w:rPr>
      </w:pPr>
      <w:r>
        <w:rPr>
          <w:rFonts w:ascii="Arial" w:hAnsi="Arial" w:cs="Arial"/>
          <w:color w:val="444444"/>
          <w:sz w:val="24"/>
          <w:szCs w:val="24"/>
        </w:rPr>
        <w:br/>
        <w:t>ПРАВИТЕЛЬСТВО ТЮМЕНСКОЙ ОБЛАСТИ</w:t>
      </w:r>
      <w:r>
        <w:rPr>
          <w:rFonts w:ascii="Arial" w:hAnsi="Arial" w:cs="Arial"/>
          <w:color w:val="444444"/>
          <w:sz w:val="24"/>
          <w:szCs w:val="24"/>
        </w:rPr>
        <w:br/>
      </w:r>
      <w:r>
        <w:rPr>
          <w:rFonts w:ascii="Arial" w:hAnsi="Arial" w:cs="Arial"/>
          <w:color w:val="444444"/>
          <w:sz w:val="24"/>
          <w:szCs w:val="24"/>
        </w:rPr>
        <w:br/>
        <w:t>ПОСТАНОВЛЕНИЕ</w:t>
      </w:r>
      <w:r>
        <w:rPr>
          <w:rFonts w:ascii="Arial" w:hAnsi="Arial" w:cs="Arial"/>
          <w:color w:val="444444"/>
          <w:sz w:val="24"/>
          <w:szCs w:val="24"/>
        </w:rPr>
        <w:br/>
      </w:r>
      <w:r>
        <w:rPr>
          <w:rFonts w:ascii="Arial" w:hAnsi="Arial" w:cs="Arial"/>
          <w:color w:val="444444"/>
          <w:sz w:val="24"/>
          <w:szCs w:val="24"/>
        </w:rPr>
        <w:br/>
        <w:t>от 4 сентября 2020 года N 576-п</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Порядка формирования сведений, подлежащих включению в перечень участков недр местного значения Тюменской области</w:t>
      </w:r>
    </w:p>
    <w:p w14:paraId="59862076"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r>
        <w:rPr>
          <w:rFonts w:ascii="Arial" w:hAnsi="Arial" w:cs="Arial"/>
          <w:color w:val="444444"/>
        </w:rPr>
        <w:br/>
      </w:r>
    </w:p>
    <w:p w14:paraId="099836B9"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В соответствии с пунктом 7.1 статьи 4 </w:t>
      </w:r>
      <w:r>
        <w:rPr>
          <w:rFonts w:ascii="Arial" w:eastAsiaTheme="majorEastAsia" w:hAnsi="Arial" w:cs="Arial"/>
          <w:color w:val="444444"/>
        </w:rPr>
        <w:t xml:space="preserve">Закона РФ от 21.02.1992 N </w:t>
      </w:r>
      <w:proofErr w:type="gramStart"/>
      <w:r>
        <w:rPr>
          <w:rFonts w:ascii="Arial" w:eastAsiaTheme="majorEastAsia" w:hAnsi="Arial" w:cs="Arial"/>
          <w:color w:val="444444"/>
        </w:rPr>
        <w:t>2395-1</w:t>
      </w:r>
      <w:proofErr w:type="gramEnd"/>
      <w:r>
        <w:rPr>
          <w:rFonts w:ascii="Arial" w:eastAsiaTheme="majorEastAsia" w:hAnsi="Arial" w:cs="Arial"/>
          <w:color w:val="444444"/>
        </w:rPr>
        <w:t xml:space="preserve"> "О недрах"</w:t>
      </w:r>
      <w:r>
        <w:rPr>
          <w:rFonts w:ascii="Arial" w:hAnsi="Arial" w:cs="Arial"/>
          <w:color w:val="444444"/>
        </w:rPr>
        <w:t>, пунктом 6.1 части 2 статьи 2 </w:t>
      </w:r>
      <w:r>
        <w:rPr>
          <w:rFonts w:ascii="Arial" w:eastAsiaTheme="majorEastAsia" w:hAnsi="Arial" w:cs="Arial"/>
          <w:color w:val="444444"/>
        </w:rPr>
        <w:t>Закона Тюменской области от 06.10.2005 N 402 "О недропользовании в Тюменской области"</w:t>
      </w:r>
      <w:r>
        <w:rPr>
          <w:rFonts w:ascii="Arial" w:hAnsi="Arial" w:cs="Arial"/>
          <w:color w:val="444444"/>
        </w:rPr>
        <w:t>:</w:t>
      </w:r>
      <w:r>
        <w:rPr>
          <w:rFonts w:ascii="Arial" w:hAnsi="Arial" w:cs="Arial"/>
          <w:color w:val="444444"/>
        </w:rPr>
        <w:br/>
      </w:r>
    </w:p>
    <w:p w14:paraId="2F78013E"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29D47D8B"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 Утвердить Порядок формирования сведений, подлежащих включению в перечень участков недр местного значения Тюменской области, согласно приложению к настоящему постановлению.</w:t>
      </w:r>
      <w:r>
        <w:rPr>
          <w:rFonts w:ascii="Arial" w:hAnsi="Arial" w:cs="Arial"/>
          <w:color w:val="444444"/>
        </w:rPr>
        <w:br/>
      </w:r>
    </w:p>
    <w:p w14:paraId="57E1050D"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6E8BAF78"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 Действие настоящего Порядка не распространяется на участки недр, включение которых в перечень участков недр местного значения Тюменской области согласовано с территориальным органом Федерального агентства по недропользованию до вступления настоящего Порядка в силу.</w:t>
      </w:r>
      <w:r>
        <w:rPr>
          <w:rFonts w:ascii="Arial" w:hAnsi="Arial" w:cs="Arial"/>
          <w:color w:val="444444"/>
        </w:rPr>
        <w:br/>
      </w:r>
    </w:p>
    <w:p w14:paraId="7FD77012"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06F36EE2"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3. Контроль за исполнением настоящего постановления возложить на заместителя Губернатора Тюменской области, координирующего и контролирующего деятельность Департамента недропользования и экологии Тюменской области.</w:t>
      </w:r>
      <w:r>
        <w:rPr>
          <w:rFonts w:ascii="Arial" w:hAnsi="Arial" w:cs="Arial"/>
          <w:color w:val="444444"/>
        </w:rPr>
        <w:br/>
      </w:r>
    </w:p>
    <w:p w14:paraId="43F18FD2" w14:textId="77777777" w:rsidR="0095759E" w:rsidRDefault="0095759E" w:rsidP="0095759E">
      <w:pPr>
        <w:pStyle w:val="formattext"/>
        <w:spacing w:before="0" w:beforeAutospacing="0" w:after="0" w:afterAutospacing="0" w:line="330" w:lineRule="atLeast"/>
        <w:jc w:val="right"/>
        <w:textAlignment w:val="baseline"/>
        <w:rPr>
          <w:rFonts w:ascii="Arial" w:hAnsi="Arial" w:cs="Arial"/>
          <w:color w:val="444444"/>
        </w:rPr>
      </w:pPr>
      <w:r>
        <w:rPr>
          <w:rFonts w:ascii="Arial" w:hAnsi="Arial" w:cs="Arial"/>
          <w:color w:val="444444"/>
        </w:rPr>
        <w:br/>
      </w:r>
      <w:r>
        <w:rPr>
          <w:rFonts w:ascii="Arial" w:hAnsi="Arial" w:cs="Arial"/>
          <w:color w:val="444444"/>
        </w:rPr>
        <w:br/>
        <w:t>Губернатор области</w:t>
      </w:r>
      <w:r>
        <w:rPr>
          <w:rFonts w:ascii="Arial" w:hAnsi="Arial" w:cs="Arial"/>
          <w:color w:val="444444"/>
        </w:rPr>
        <w:br/>
        <w:t>А.В.МООР</w:t>
      </w:r>
    </w:p>
    <w:p w14:paraId="25273C37" w14:textId="77777777" w:rsidR="0095759E" w:rsidRDefault="0095759E" w:rsidP="0095759E">
      <w:pPr>
        <w:pStyle w:val="2"/>
        <w:spacing w:before="0" w:after="240" w:line="330" w:lineRule="atLeast"/>
        <w:jc w:val="right"/>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Приложение</w:t>
      </w:r>
      <w:r>
        <w:rPr>
          <w:rFonts w:ascii="Arial" w:hAnsi="Arial" w:cs="Arial"/>
          <w:color w:val="444444"/>
          <w:sz w:val="24"/>
          <w:szCs w:val="24"/>
        </w:rPr>
        <w:br/>
        <w:t>к постановлению Правительства</w:t>
      </w:r>
      <w:r>
        <w:rPr>
          <w:rFonts w:ascii="Arial" w:hAnsi="Arial" w:cs="Arial"/>
          <w:color w:val="444444"/>
          <w:sz w:val="24"/>
          <w:szCs w:val="24"/>
        </w:rPr>
        <w:br/>
        <w:t>Тюменской области</w:t>
      </w:r>
      <w:r>
        <w:rPr>
          <w:rFonts w:ascii="Arial" w:hAnsi="Arial" w:cs="Arial"/>
          <w:color w:val="444444"/>
          <w:sz w:val="24"/>
          <w:szCs w:val="24"/>
        </w:rPr>
        <w:br/>
        <w:t>от 4 сентября 2020 г. N 576-п</w:t>
      </w:r>
    </w:p>
    <w:p w14:paraId="6D3DC40C" w14:textId="77777777" w:rsidR="0095759E" w:rsidRDefault="0095759E" w:rsidP="0095759E">
      <w:pPr>
        <w:pStyle w:val="headertext"/>
        <w:spacing w:before="0" w:beforeAutospacing="0" w:after="240" w:afterAutospacing="0" w:line="330" w:lineRule="atLeast"/>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ПОРЯДОК ФОРМИРОВАНИЯ СВЕДЕНИЙ, ПОДЛЕЖАЩИХ ВКЛЮЧЕНИЮ В ПЕРЕЧЕНЬ УЧАСТКОВ НЕДР МЕСТНОГО ЗНАЧЕНИЯ ТЮМЕНСКОЙ ОБЛАСТИ</w:t>
      </w:r>
    </w:p>
    <w:p w14:paraId="7596F7CB"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3BAD1544"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 Порядок формирования сведений, подлежащих включению в перечень участков недр местного значения Тюменской области (далее - Порядок) разработан во исполнение пункта 7.1 статьи 4 </w:t>
      </w:r>
      <w:r>
        <w:rPr>
          <w:rFonts w:ascii="Arial" w:eastAsiaTheme="majorEastAsia" w:hAnsi="Arial" w:cs="Arial"/>
          <w:color w:val="444444"/>
        </w:rPr>
        <w:t>Закона РФ от 21.02.1992 N 2395-1 "О недрах"</w:t>
      </w:r>
      <w:r>
        <w:rPr>
          <w:rFonts w:ascii="Arial" w:hAnsi="Arial" w:cs="Arial"/>
          <w:color w:val="444444"/>
        </w:rPr>
        <w:t>, пункта 6.1 части 2 статьи 2 </w:t>
      </w:r>
      <w:r>
        <w:rPr>
          <w:rFonts w:ascii="Arial" w:eastAsiaTheme="majorEastAsia" w:hAnsi="Arial" w:cs="Arial"/>
          <w:color w:val="444444"/>
        </w:rPr>
        <w:t>Закона Тюменской области от 06.10.2005 N 402 "О недропользовании в Тюменской области"</w:t>
      </w:r>
      <w:r>
        <w:rPr>
          <w:rFonts w:ascii="Arial" w:hAnsi="Arial" w:cs="Arial"/>
          <w:color w:val="444444"/>
        </w:rPr>
        <w:t>.</w:t>
      </w:r>
      <w:r>
        <w:rPr>
          <w:rFonts w:ascii="Arial" w:hAnsi="Arial" w:cs="Arial"/>
          <w:color w:val="444444"/>
        </w:rPr>
        <w:br/>
      </w:r>
    </w:p>
    <w:p w14:paraId="7A15A88B"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2BEFCA58"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 Порядок определяет последовательность действий и их сроков при формировании сведений, подлежащих включению в перечень участков недр местного значения Тюменской области (далее - Перечень):</w:t>
      </w:r>
      <w:r>
        <w:rPr>
          <w:rFonts w:ascii="Arial" w:hAnsi="Arial" w:cs="Arial"/>
          <w:color w:val="444444"/>
        </w:rPr>
        <w:br/>
      </w:r>
    </w:p>
    <w:p w14:paraId="29325089"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0A4864F3"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для разведки и добычи общераспространенных полезных ископаемых;</w:t>
      </w:r>
      <w:r>
        <w:rPr>
          <w:rFonts w:ascii="Arial" w:hAnsi="Arial" w:cs="Arial"/>
          <w:color w:val="444444"/>
        </w:rPr>
        <w:br/>
      </w:r>
    </w:p>
    <w:p w14:paraId="16557534"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677E04D6"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для геологического изучения, разведки и добычи общераспространенных полезных ископаемых;</w:t>
      </w:r>
      <w:r>
        <w:rPr>
          <w:rFonts w:ascii="Arial" w:hAnsi="Arial" w:cs="Arial"/>
          <w:color w:val="444444"/>
        </w:rPr>
        <w:br/>
      </w:r>
    </w:p>
    <w:p w14:paraId="688C6161"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6C80A5B2"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для разведки и добычи общераспространенных полезных ископаемых открытого месторождения при установлении факта его открытия пользователем недр;</w:t>
      </w:r>
      <w:r>
        <w:rPr>
          <w:rFonts w:ascii="Arial" w:hAnsi="Arial" w:cs="Arial"/>
          <w:color w:val="444444"/>
        </w:rPr>
        <w:br/>
      </w:r>
    </w:p>
    <w:p w14:paraId="1E61873E"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1E8E0674"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для геологического изучения в целях поисков и оценки месторождений общераспространенных полезных ископаемых.</w:t>
      </w:r>
      <w:r>
        <w:rPr>
          <w:rFonts w:ascii="Arial" w:hAnsi="Arial" w:cs="Arial"/>
          <w:color w:val="444444"/>
        </w:rPr>
        <w:br/>
      </w:r>
    </w:p>
    <w:p w14:paraId="499A5B12"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41A48D97"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Перечень общераспространенных полезных ископаемых Тюменской области утвержден распоряжением Минприроды России и </w:t>
      </w:r>
      <w:r>
        <w:rPr>
          <w:rFonts w:ascii="Arial" w:eastAsiaTheme="majorEastAsia" w:hAnsi="Arial" w:cs="Arial"/>
          <w:color w:val="444444"/>
        </w:rPr>
        <w:t xml:space="preserve">Правительства Тюменской </w:t>
      </w:r>
      <w:r>
        <w:rPr>
          <w:rFonts w:ascii="Arial" w:eastAsiaTheme="majorEastAsia" w:hAnsi="Arial" w:cs="Arial"/>
          <w:color w:val="444444"/>
        </w:rPr>
        <w:lastRenderedPageBreak/>
        <w:t>области от 30.09.2008 N 39-р/1347-рп</w:t>
      </w:r>
      <w:r>
        <w:rPr>
          <w:rFonts w:ascii="Arial" w:hAnsi="Arial" w:cs="Arial"/>
          <w:color w:val="444444"/>
        </w:rPr>
        <w:t>.</w:t>
      </w:r>
      <w:r>
        <w:rPr>
          <w:rFonts w:ascii="Arial" w:hAnsi="Arial" w:cs="Arial"/>
          <w:color w:val="444444"/>
        </w:rPr>
        <w:br/>
      </w:r>
    </w:p>
    <w:p w14:paraId="60D8C1B4"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768C0D26"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Уполномоченным органом по формированию сведений, подлежащих включению в Перечень, является Департамент недропользования и экологии Тюменской области.</w:t>
      </w:r>
      <w:r>
        <w:rPr>
          <w:rFonts w:ascii="Arial" w:hAnsi="Arial" w:cs="Arial"/>
          <w:color w:val="444444"/>
        </w:rPr>
        <w:br/>
      </w:r>
    </w:p>
    <w:p w14:paraId="75E1672F"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634063FE"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3. Настоящий Порядок регулирует подготовку сведений, подлежащих включению в Перечень, на основании предложений субъектов предпринимательской деятельности и органов местного самоуправления (далее - заинтересованные лица) по форме согласно приложению к Порядку.</w:t>
      </w:r>
      <w:r>
        <w:rPr>
          <w:rFonts w:ascii="Arial" w:hAnsi="Arial" w:cs="Arial"/>
          <w:color w:val="444444"/>
        </w:rPr>
        <w:br/>
      </w:r>
    </w:p>
    <w:p w14:paraId="3848F319"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61A2C82B"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4. К предложениям прилагаются следующие материалы:</w:t>
      </w:r>
      <w:r>
        <w:rPr>
          <w:rFonts w:ascii="Arial" w:hAnsi="Arial" w:cs="Arial"/>
          <w:color w:val="444444"/>
        </w:rPr>
        <w:br/>
      </w:r>
    </w:p>
    <w:p w14:paraId="3CE5FB67"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5DEA79D4"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 схема расположения предлагаемого участка недр местного значения масштаба 1:25000 на топографической основе, содержащей населенные пункты, дорожную сеть, водные объекты, контур участка недр, предлагаемого к включению в Перечень, в виде участка недр местного значения, представляющего собой геометризированный блок с последовательной нумерацией угловых точек, позволяющий определить его местоположение, с условными обозначениями и с указанием географических координат угловых точек (градусы, минуты, секунды с математическим округлением до сотых единиц после запятой) в географической системе координат Пулково-42. Для участков недр местного значения, расположенных на землях сельскохозяйственного назначения, дополнительно указываются координаты в местной системе координат МСК Тюменской области. Местоположение планируемого участка недр местного значения должно обеспечивать беспрепятственный проезд к другим участкам недр;</w:t>
      </w:r>
      <w:r>
        <w:rPr>
          <w:rFonts w:ascii="Arial" w:hAnsi="Arial" w:cs="Arial"/>
          <w:color w:val="444444"/>
        </w:rPr>
        <w:br/>
      </w:r>
    </w:p>
    <w:p w14:paraId="0750AAF0"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3CBA6266"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 пояснительная записка, содержащая:</w:t>
      </w:r>
      <w:r>
        <w:rPr>
          <w:rFonts w:ascii="Arial" w:hAnsi="Arial" w:cs="Arial"/>
          <w:color w:val="444444"/>
        </w:rPr>
        <w:br/>
      </w:r>
    </w:p>
    <w:p w14:paraId="555DB925"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0794B555"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информацию о геологической изученности участка недр местного значения, которая приводится на основе ранее выполненных геологоразведочных работ или по материалам геологических отчетов, хранящихся в федеральном или соответствующем территориальном фондах геологической информации (при наличии);</w:t>
      </w:r>
      <w:r>
        <w:rPr>
          <w:rFonts w:ascii="Arial" w:hAnsi="Arial" w:cs="Arial"/>
          <w:color w:val="444444"/>
        </w:rPr>
        <w:br/>
      </w:r>
    </w:p>
    <w:p w14:paraId="6EFD3F24"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046C29F0"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xml:space="preserve">- предложения заинтересованного лица по условиям пользования участком недр местного значения, включающие: мощность полезной толщи, объем </w:t>
      </w:r>
      <w:r>
        <w:rPr>
          <w:rFonts w:ascii="Arial" w:hAnsi="Arial" w:cs="Arial"/>
          <w:color w:val="444444"/>
        </w:rPr>
        <w:lastRenderedPageBreak/>
        <w:t>вскрышных пород, предполагаемый способ отработки участка недр местного значения, годовой объем добычи общераспространенных полезных ископаемых, предполагаемый способ переработки добытого полезного ископаемого, производственную мощность будущего предприятия и вид производимой продукции;</w:t>
      </w:r>
      <w:r>
        <w:rPr>
          <w:rFonts w:ascii="Arial" w:hAnsi="Arial" w:cs="Arial"/>
          <w:color w:val="444444"/>
        </w:rPr>
        <w:br/>
      </w:r>
    </w:p>
    <w:p w14:paraId="4491985B"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208EAF6E"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сведения о лесничествах, участковых лесничествах, участках (урочищах, сельских поселениях) с указанием номеров кварталов, выделов (для участков недр местного значения, расположенных на землях лесного фонда);</w:t>
      </w:r>
      <w:r>
        <w:rPr>
          <w:rFonts w:ascii="Arial" w:hAnsi="Arial" w:cs="Arial"/>
          <w:color w:val="444444"/>
        </w:rPr>
        <w:br/>
      </w:r>
    </w:p>
    <w:p w14:paraId="1CECD6AB"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44F43171"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сведения о категории земель; видах разрешенного использования; для участков недр местного значения, находящихся в государственной и муниципальной собственности, сведения о кадастровых номерах (при наличии);</w:t>
      </w:r>
      <w:r>
        <w:rPr>
          <w:rFonts w:ascii="Arial" w:hAnsi="Arial" w:cs="Arial"/>
          <w:color w:val="444444"/>
        </w:rPr>
        <w:br/>
      </w:r>
    </w:p>
    <w:p w14:paraId="6719954A"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5B811E89"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3) материалы, необходимые для подтверждения отсутствия (наличия) ограничений использования участка недр местного значения для заявленных целей недропользования:</w:t>
      </w:r>
      <w:r>
        <w:rPr>
          <w:rFonts w:ascii="Arial" w:hAnsi="Arial" w:cs="Arial"/>
          <w:color w:val="444444"/>
        </w:rPr>
        <w:br/>
      </w:r>
    </w:p>
    <w:p w14:paraId="037D41C5"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7750C76E"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выписка из Единого государственного реестра недвижимости об основных характеристиках и зарегистрированных правах на объект недвижимости (земельный участок, на территории которого расположен предлагаемый участок недр местного значения), утвержденная </w:t>
      </w:r>
      <w:r>
        <w:rPr>
          <w:rFonts w:ascii="Arial" w:eastAsiaTheme="majorEastAsia" w:hAnsi="Arial" w:cs="Arial"/>
          <w:color w:val="444444"/>
        </w:rPr>
        <w:t>Приказом Минэкономразвития России от 20.06.2016 N 378</w:t>
      </w:r>
      <w:r>
        <w:rPr>
          <w:rFonts w:ascii="Arial" w:hAnsi="Arial" w:cs="Arial"/>
          <w:color w:val="444444"/>
        </w:rPr>
        <w:t>;</w:t>
      </w:r>
      <w:r>
        <w:rPr>
          <w:rFonts w:ascii="Arial" w:hAnsi="Arial" w:cs="Arial"/>
          <w:color w:val="444444"/>
        </w:rPr>
        <w:br/>
      </w:r>
    </w:p>
    <w:p w14:paraId="70FFAEE2"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1BE511E9"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выписка из государственного лесного реестра, полученная не ранее чем за месяц до даты подачи заявки (для участков недр местного значения, расположенных на землях лесного фонда);</w:t>
      </w:r>
      <w:r>
        <w:rPr>
          <w:rFonts w:ascii="Arial" w:hAnsi="Arial" w:cs="Arial"/>
          <w:color w:val="444444"/>
        </w:rPr>
        <w:br/>
      </w:r>
    </w:p>
    <w:p w14:paraId="3DECCA39"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4016B77C"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информация о наличии или отсутствии на предлагаемом участке недр местного значения объектов культурного наследия федерального, регионального или местного значения, включенных в единый государственный реестр объектов культурного наследия (памятников истории и культуры) народов Российской Федерации.</w:t>
      </w:r>
      <w:r>
        <w:rPr>
          <w:rFonts w:ascii="Arial" w:hAnsi="Arial" w:cs="Arial"/>
          <w:color w:val="444444"/>
        </w:rPr>
        <w:br/>
      </w:r>
    </w:p>
    <w:p w14:paraId="4289F487"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4176A8C6"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5. Материалы, указанные в подпунктах 1, 2 пункта 4 Порядка, представляются заинтересованным лицом в обязательном порядке.</w:t>
      </w:r>
      <w:r>
        <w:rPr>
          <w:rFonts w:ascii="Arial" w:hAnsi="Arial" w:cs="Arial"/>
          <w:color w:val="444444"/>
        </w:rPr>
        <w:br/>
      </w:r>
    </w:p>
    <w:p w14:paraId="00358395"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2005A1D4"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Материалы, указанные в подпункте 3 пункта 4 Порядка, представляются заинтересованным лицом по желанию. При их отсутствии в предложениях уполномоченный орган запрашивает необходимую информацию посредством направления запросов в государственные органы и подведомственные государственным органам организации, в полномочия которых входит выдача соответствующих документов и сведений.</w:t>
      </w:r>
      <w:r>
        <w:rPr>
          <w:rFonts w:ascii="Arial" w:hAnsi="Arial" w:cs="Arial"/>
          <w:color w:val="444444"/>
        </w:rPr>
        <w:br/>
      </w:r>
    </w:p>
    <w:p w14:paraId="131E0C6D"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02CF5B43"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Материалы представляются заверенные подписью руководителя заинтересованного лица (иного уполномоченного лица) и печатью (при наличии), за исключением материалов, указанных в подпункте 3 пункта 4 Порядка.</w:t>
      </w:r>
      <w:r>
        <w:rPr>
          <w:rFonts w:ascii="Arial" w:hAnsi="Arial" w:cs="Arial"/>
          <w:color w:val="444444"/>
        </w:rPr>
        <w:br/>
      </w:r>
    </w:p>
    <w:p w14:paraId="67ECCC84"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026EC01F"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Все представленные материалы возврату не подлежат.</w:t>
      </w:r>
      <w:r>
        <w:rPr>
          <w:rFonts w:ascii="Arial" w:hAnsi="Arial" w:cs="Arial"/>
          <w:color w:val="444444"/>
        </w:rPr>
        <w:br/>
      </w:r>
    </w:p>
    <w:p w14:paraId="6DCD1969"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7054BB2B"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xml:space="preserve">6. Уполномоченный орган в течение 10 рабочих дней со дня, следующего за днем регистрации предложения, рассматривает поступившие предложения на предмет их соответствия подпунктам </w:t>
      </w:r>
      <w:proofErr w:type="gramStart"/>
      <w:r>
        <w:rPr>
          <w:rFonts w:ascii="Arial" w:hAnsi="Arial" w:cs="Arial"/>
          <w:color w:val="444444"/>
        </w:rPr>
        <w:t>1 - 5</w:t>
      </w:r>
      <w:proofErr w:type="gramEnd"/>
      <w:r>
        <w:rPr>
          <w:rFonts w:ascii="Arial" w:hAnsi="Arial" w:cs="Arial"/>
          <w:color w:val="444444"/>
        </w:rPr>
        <w:t xml:space="preserve"> пункта 9 Порядка:</w:t>
      </w:r>
      <w:r>
        <w:rPr>
          <w:rFonts w:ascii="Arial" w:hAnsi="Arial" w:cs="Arial"/>
          <w:color w:val="444444"/>
        </w:rPr>
        <w:br/>
      </w:r>
    </w:p>
    <w:p w14:paraId="7D9D5249"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176AA97E"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в случае несоответствия предложения направляет заинтересованному лицу уведомление об отказе в рассмотрении предложения с указанием причин отказа;</w:t>
      </w:r>
      <w:r>
        <w:rPr>
          <w:rFonts w:ascii="Arial" w:hAnsi="Arial" w:cs="Arial"/>
          <w:color w:val="444444"/>
        </w:rPr>
        <w:br/>
      </w:r>
    </w:p>
    <w:p w14:paraId="71F4FAB2"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5E427A25"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в случае если предложение соответствует, направляет запросы о получении:</w:t>
      </w:r>
      <w:r>
        <w:rPr>
          <w:rFonts w:ascii="Arial" w:hAnsi="Arial" w:cs="Arial"/>
          <w:color w:val="444444"/>
        </w:rPr>
        <w:br/>
      </w:r>
    </w:p>
    <w:p w14:paraId="3754C478"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4A020011"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а) выписки из государственного лесного реестра о лесных участках, на территории которых расположен предлагаемый участок недр местного значения, - в Департамент лесного комплекса Тюменской области (для участков недр местного значения, расположенных на землях лесного фонда);</w:t>
      </w:r>
      <w:r>
        <w:rPr>
          <w:rFonts w:ascii="Arial" w:hAnsi="Arial" w:cs="Arial"/>
          <w:color w:val="444444"/>
        </w:rPr>
        <w:br/>
      </w:r>
    </w:p>
    <w:p w14:paraId="49C96929"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4ED433B1"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б) заключения о наличии или отсутствии на предлагаемом участке недр местного значения объектов культурного наследия федерального, регионального или местного значения, включенных в единый государственный реестр объектов культурного наследия (памятников истории и культуры) народов Российской Федерации и их защитных зонах, - в Комитет по охране и использованию объектов историко-культурного наследия Тюменской области;</w:t>
      </w:r>
      <w:r>
        <w:rPr>
          <w:rFonts w:ascii="Arial" w:hAnsi="Arial" w:cs="Arial"/>
          <w:color w:val="444444"/>
        </w:rPr>
        <w:br/>
      </w:r>
    </w:p>
    <w:p w14:paraId="3DCFF96C"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6EA08231"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lastRenderedPageBreak/>
        <w:t>в) сведения о проведенных ранее работах по геологическому изучению, разведке и добыче общераспространенных полезных ископаемых на предлагаемом участке недр местного значения; о расположении участка недр местного значения полностью или частично над или под месторождением полезных ископаемых, не относящихся к общераспространенным, находящимся в нераспределенном фонде; о расположении участка недр местного значения полностью или частично над или под проявлениями твердых полезных ископаемых, учтенных в государственном кадастре месторождений и проявлений полезных ископаемых; о расположении участка недр местного значения полностью или частично в границах участков недр, включенных в федеральный фонд резервных участков недр, находящихся в нераспределенном фонде; об отношении участка недр местного значения к участкам недр федерального значения - в отдел геологии и лицензирования Департамента по недропользованию по Уральскому федеральному округу по Тюменской области (</w:t>
      </w:r>
      <w:proofErr w:type="spellStart"/>
      <w:r>
        <w:rPr>
          <w:rFonts w:ascii="Arial" w:hAnsi="Arial" w:cs="Arial"/>
          <w:color w:val="444444"/>
        </w:rPr>
        <w:t>Тюменьнедра</w:t>
      </w:r>
      <w:proofErr w:type="spellEnd"/>
      <w:r>
        <w:rPr>
          <w:rFonts w:ascii="Arial" w:hAnsi="Arial" w:cs="Arial"/>
          <w:color w:val="444444"/>
        </w:rPr>
        <w:t>);</w:t>
      </w:r>
      <w:r>
        <w:rPr>
          <w:rFonts w:ascii="Arial" w:hAnsi="Arial" w:cs="Arial"/>
          <w:color w:val="444444"/>
        </w:rPr>
        <w:br/>
      </w:r>
    </w:p>
    <w:p w14:paraId="1EAF8977"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4F3950DA"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г) сведения о наличии (отсутствии) ограничений использования участка недр местного значения для геологического изучения, разведки и добычи общераспространенных полезных ископаемых; о возможности создания при пользовании недрами угрозы жизни и здоровью людей, нанесения ущерба хозяйственным объектам или окружающей среде на территориях населенных пунктов, пригородных зон, объектов промышленности, транспорта и связи - в администрацию муниципального района/городского округа;</w:t>
      </w:r>
      <w:r>
        <w:rPr>
          <w:rFonts w:ascii="Arial" w:hAnsi="Arial" w:cs="Arial"/>
          <w:color w:val="444444"/>
        </w:rPr>
        <w:br/>
      </w:r>
    </w:p>
    <w:p w14:paraId="64DFA4FE"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72C99064"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д) выписки из Единого государственного реестра недвижимости - в Управление Росреестра по Тюменской области;</w:t>
      </w:r>
      <w:r>
        <w:rPr>
          <w:rFonts w:ascii="Arial" w:hAnsi="Arial" w:cs="Arial"/>
          <w:color w:val="444444"/>
        </w:rPr>
        <w:br/>
      </w:r>
    </w:p>
    <w:p w14:paraId="39B550A7"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7BE3E81D"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е) о целевом назначении земельного участка; о наличии/отсутствии обременений на часть или на весь земельный участок, расположенный в границах предлагаемого участка недр местного значения, - в зависимости от полномочий в Департамент имущественных отношений Тюменской области или в администрацию муниципального района/городского округа (в случае отсутствия сведений в Едином государственном реестре недвижимости);</w:t>
      </w:r>
      <w:r>
        <w:rPr>
          <w:rFonts w:ascii="Arial" w:hAnsi="Arial" w:cs="Arial"/>
          <w:color w:val="444444"/>
        </w:rPr>
        <w:br/>
      </w:r>
    </w:p>
    <w:p w14:paraId="714C8B61"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208C0958"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xml:space="preserve">ж) сведения о наличии (отсутствии) ограничений на разведку и добычу общераспространенных полезных ископаемых на заявленном участке недр местного значения и их воздействие на качественное состояние водно-болотных угодий международного значения, охотничьих угодий при расположении участка недр местного значения в границах водно-болотного угодья, охотничьего угодья - в Департамент по охране, контролю и регулированию использования объектов </w:t>
      </w:r>
      <w:r>
        <w:rPr>
          <w:rFonts w:ascii="Arial" w:hAnsi="Arial" w:cs="Arial"/>
          <w:color w:val="444444"/>
        </w:rPr>
        <w:lastRenderedPageBreak/>
        <w:t>животного мира и среды их обитания Тюменской области;</w:t>
      </w:r>
      <w:r>
        <w:rPr>
          <w:rFonts w:ascii="Arial" w:hAnsi="Arial" w:cs="Arial"/>
          <w:color w:val="444444"/>
        </w:rPr>
        <w:br/>
      </w:r>
    </w:p>
    <w:p w14:paraId="374F273F"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72A17127"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з) сведения о значимости водных объектов для рыболовства, рыборазведения и сохранения водных биологических ресурсов при расположении участка недр местного значения в границах водного объекта - в Нижнеобское территориальное управление Федерального агентства по рыболовству (для участков недр местного значения, расположенных в границах водного объекта);</w:t>
      </w:r>
      <w:r>
        <w:rPr>
          <w:rFonts w:ascii="Arial" w:hAnsi="Arial" w:cs="Arial"/>
          <w:color w:val="444444"/>
        </w:rPr>
        <w:br/>
      </w:r>
    </w:p>
    <w:p w14:paraId="367EDA22"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3B8312A8"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и) сведения о наличии или отсутствии земельных участков из состава земель обороны, безопасности в границах участков недр, планируемых к включению в Перечень, - в Министерство обороны Российской Федерации и Федеральную службу безопасности Российской Федерации.</w:t>
      </w:r>
      <w:r>
        <w:rPr>
          <w:rFonts w:ascii="Arial" w:hAnsi="Arial" w:cs="Arial"/>
          <w:color w:val="444444"/>
        </w:rPr>
        <w:br/>
      </w:r>
    </w:p>
    <w:p w14:paraId="2E6F9BBC"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0AB659EF"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7. Срок рассмотрения запроса уполномоченного органа и подготовки сведений исполнительными органами государственной власти Тюменской области и органами местного самоуправления, указанных в пункте 6 Порядка, составляет не более 10 рабочих дней со дня, следующего за днем поступления запроса уполномоченного органа.</w:t>
      </w:r>
      <w:r>
        <w:rPr>
          <w:rFonts w:ascii="Arial" w:hAnsi="Arial" w:cs="Arial"/>
          <w:color w:val="444444"/>
        </w:rPr>
        <w:br/>
      </w:r>
    </w:p>
    <w:p w14:paraId="10A4E91D"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218FB55C"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Срок рассмотрения запроса уполномоченного органа и подготовки сведений территориальными органами федеральных органов государственной власти, указанных в пункте 6 Порядка, составляет не более 30 календарных дней со дня, следующего за днем поступления запроса уполномоченного органа.</w:t>
      </w:r>
      <w:r>
        <w:rPr>
          <w:rFonts w:ascii="Arial" w:hAnsi="Arial" w:cs="Arial"/>
          <w:color w:val="444444"/>
        </w:rPr>
        <w:br/>
      </w:r>
    </w:p>
    <w:p w14:paraId="212D4A43"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6186BCE3"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В случае если в течение указанного срока сведения не поступили, считается, что у органа, нарушившего срок предоставления сведений, отсутствуют замечания и предложения.</w:t>
      </w:r>
      <w:r>
        <w:rPr>
          <w:rFonts w:ascii="Arial" w:hAnsi="Arial" w:cs="Arial"/>
          <w:color w:val="444444"/>
        </w:rPr>
        <w:br/>
      </w:r>
    </w:p>
    <w:p w14:paraId="0909346C"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412CD28D"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8. Сведения о наличии или отсутствии земельных участков из состава земель обороны, безопасности в границах участков недр местного значения, планируемых к включению в Перечень, представляются Министерством обороны Российской Федерации и Федеральной службой безопасности Российской Федерации в срок, предусмотренный </w:t>
      </w:r>
      <w:r>
        <w:rPr>
          <w:rFonts w:ascii="Arial" w:eastAsiaTheme="majorEastAsia" w:hAnsi="Arial" w:cs="Arial"/>
          <w:color w:val="444444"/>
        </w:rPr>
        <w:t>приказом Роснедр от 15.06.2012 N 687 "Об утверждении Порядка подготовки, рассмотрения, согласования перечней участков недр местного значения или отказа в согласовании таких перечней"</w:t>
      </w:r>
      <w:r>
        <w:rPr>
          <w:rFonts w:ascii="Arial" w:hAnsi="Arial" w:cs="Arial"/>
          <w:color w:val="444444"/>
        </w:rPr>
        <w:t>.</w:t>
      </w:r>
      <w:r>
        <w:rPr>
          <w:rFonts w:ascii="Arial" w:hAnsi="Arial" w:cs="Arial"/>
          <w:color w:val="444444"/>
        </w:rPr>
        <w:br/>
      </w:r>
    </w:p>
    <w:p w14:paraId="6F96315A"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6FF04A7F"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lastRenderedPageBreak/>
        <w:t>9. Основания для отказа в формировании сведений, подлежащих включению в Перечень:</w:t>
      </w:r>
      <w:r>
        <w:rPr>
          <w:rFonts w:ascii="Arial" w:hAnsi="Arial" w:cs="Arial"/>
          <w:color w:val="444444"/>
        </w:rPr>
        <w:br/>
      </w:r>
    </w:p>
    <w:p w14:paraId="7066CD44"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32DD8F88"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 предложения не соответствуют форме согласно приложению к Порядку;</w:t>
      </w:r>
      <w:r>
        <w:rPr>
          <w:rFonts w:ascii="Arial" w:hAnsi="Arial" w:cs="Arial"/>
          <w:color w:val="444444"/>
        </w:rPr>
        <w:br/>
      </w:r>
    </w:p>
    <w:p w14:paraId="78D8288C" w14:textId="77777777" w:rsidR="0095759E" w:rsidRDefault="0095759E" w:rsidP="0095759E">
      <w:pPr>
        <w:pStyle w:val="formattext"/>
        <w:spacing w:before="0" w:beforeAutospacing="0" w:after="0" w:afterAutospacing="0" w:line="330" w:lineRule="atLeast"/>
        <w:textAlignment w:val="baseline"/>
        <w:rPr>
          <w:rFonts w:ascii="Arial" w:hAnsi="Arial" w:cs="Arial"/>
          <w:color w:val="444444"/>
        </w:rPr>
      </w:pPr>
    </w:p>
    <w:p w14:paraId="17988264" w14:textId="77777777" w:rsidR="0095759E" w:rsidRDefault="0095759E" w:rsidP="0095759E">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 не представлены материалы, перечисленные в подпунктах 1, 2 пункта 4 Порядка или наличие в данных материалах ошибок в технической информации и географических координатах;</w:t>
      </w:r>
      <w:r>
        <w:rPr>
          <w:rFonts w:ascii="Arial" w:hAnsi="Arial" w:cs="Arial"/>
          <w:color w:val="444444"/>
        </w:rPr>
        <w:br/>
      </w:r>
    </w:p>
    <w:p w14:paraId="50CEEFCC"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на площади предложенного участка недр местного значения или его части зарегистрированы действующие лицензии на пользование участками недр местного значения;</w:t>
      </w:r>
      <w:r>
        <w:rPr>
          <w:rFonts w:ascii="Arial" w:hAnsi="Arial" w:cs="Arial"/>
          <w:color w:val="444444"/>
        </w:rPr>
        <w:br/>
      </w:r>
    </w:p>
    <w:p w14:paraId="2DD24B2A"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779A4CDE"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предлагаемый участок недр местного значения либо его часть включены в Перечень или наличие ранее зарегистрированных предложений на площадь запрашиваемого участка недр местного значения или его части, в отношении которых процедура предоставления права пользования участками недр местного значения (аукционы, предоставление права пользования недрами без проведения аукциона) не завершена (с учетом приоритетности оформления права пользования предлагаемым участком недр местного значения);</w:t>
      </w:r>
      <w:r>
        <w:rPr>
          <w:rFonts w:ascii="Arial" w:hAnsi="Arial" w:cs="Arial"/>
          <w:color w:val="444444"/>
        </w:rPr>
        <w:br/>
      </w:r>
    </w:p>
    <w:p w14:paraId="7583CCD8"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5C565F65"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в границы предлагаемого участка недр местного значения включен участок автомобильной дороги и ее придорожной полосы и (или) к предлагаемому участку недр местного значения невозможно обеспечить беспрепятственный проезд;</w:t>
      </w:r>
      <w:r>
        <w:rPr>
          <w:rFonts w:ascii="Arial" w:hAnsi="Arial" w:cs="Arial"/>
          <w:color w:val="444444"/>
        </w:rPr>
        <w:br/>
      </w:r>
    </w:p>
    <w:p w14:paraId="7896994D"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44842997"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если на предлагаемом для геологического изучения в целях поисков и оценки месторождений общераспространенных полезных ископаемых участке недр местного значения работы по геологическому изучению ранее были проведены;</w:t>
      </w:r>
      <w:r>
        <w:rPr>
          <w:rFonts w:ascii="Arial" w:hAnsi="Arial" w:cs="Arial"/>
          <w:color w:val="444444"/>
        </w:rPr>
        <w:br/>
      </w:r>
    </w:p>
    <w:p w14:paraId="1D3C6132"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30697EC0"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на предлагаемом участке недр местного значения для целей разведки и добычи общераспространенных полезных ископаемых в отношении запасов не проводилась государственная экспертиза;</w:t>
      </w:r>
      <w:r>
        <w:rPr>
          <w:rFonts w:ascii="Arial" w:hAnsi="Arial" w:cs="Arial"/>
          <w:color w:val="444444"/>
        </w:rPr>
        <w:br/>
      </w:r>
    </w:p>
    <w:p w14:paraId="5A305F72"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0CCA6E23"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отсутствует возможность использования участка лесного фонда, в границах которого расположен предлагаемый участок недр местного значения;</w:t>
      </w:r>
      <w:r>
        <w:rPr>
          <w:rFonts w:ascii="Arial" w:hAnsi="Arial" w:cs="Arial"/>
          <w:color w:val="444444"/>
        </w:rPr>
        <w:br/>
      </w:r>
    </w:p>
    <w:p w14:paraId="4CEFE066"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29807EED"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9) на предлагаемом участке недр местного значения расположены объекты культурного наследия федерального, регионального или местного значения, включенных в единый государственный реестр объектов культурного наследия (памятников истории и культуры) народов Российской Федерации и их защитные </w:t>
      </w:r>
      <w:r>
        <w:rPr>
          <w:rFonts w:ascii="Arial" w:hAnsi="Arial" w:cs="Arial"/>
          <w:color w:val="444444"/>
        </w:rPr>
        <w:lastRenderedPageBreak/>
        <w:t>зоны;</w:t>
      </w:r>
      <w:r>
        <w:rPr>
          <w:rFonts w:ascii="Arial" w:hAnsi="Arial" w:cs="Arial"/>
          <w:color w:val="444444"/>
        </w:rPr>
        <w:br/>
      </w:r>
    </w:p>
    <w:p w14:paraId="419203B8"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19A57779"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предлагаемый участок недр местного значения полностью или частично расположен в границах особо охраняемых природных территорий федерального, регионального и местного значения, водно-болотных угодий международного значения, их охранных зон (в случае если режимом их особой охраны запрещается пользование недрами и иная деятельность и (или) действия, сопутствующие пользованию недрами, а также в случае если планируемая деятельность влечет за собой нарушение сохранности особо охраняемых природных территорий и (или) противоречит целям их создания или причиняет вред их природным комплексам и их компонентам);</w:t>
      </w:r>
      <w:r>
        <w:rPr>
          <w:rFonts w:ascii="Arial" w:hAnsi="Arial" w:cs="Arial"/>
          <w:color w:val="444444"/>
        </w:rPr>
        <w:br/>
      </w:r>
    </w:p>
    <w:p w14:paraId="7BE51753"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1EBCB81A"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предлагаемый участок недр местного значения полностью или частично расположен в границах земельных участков, зарезервированных для создания особо охраняемых природных территорий федерального, регионального и местного значения, а также участков, включенных в схему размещения и развития системы особо охраняемых природных территорий регионального значения Тюменской области (в случае если нормативным правовым актом о резервировании запрещается пользование недрами и иная деятельность и (или) действия, сопутствующие пользованию недрами, а также в случае если планируемая деятельность влечет за собой нарушение сохранности особо охраняемых природных территорий, и (или) противоречит целям их создания, или причиняет вред их природным комплексам и их компонентам);</w:t>
      </w:r>
      <w:r>
        <w:rPr>
          <w:rFonts w:ascii="Arial" w:hAnsi="Arial" w:cs="Arial"/>
          <w:color w:val="444444"/>
        </w:rPr>
        <w:br/>
      </w:r>
    </w:p>
    <w:p w14:paraId="48EF751E"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256CD82A"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 предлагаемый участок недр местного значения полностью или частично расположен в водоохранной зоне водных объектов (за исключением случаев если разведка и добыча общераспространенных полезных ископаемых осуществляются пользователями недр, осуществляющими разведку и добычу иных видов полезных ископаемых, в границах предоставленных им в соответствии с законодательством Российской Федерации о недрах горных отводов и (или) геологических отводов на основании утвержденного технического проекта в соответствии со статьей 19.1 Закона Российской Федерации от 21 февраля 1992 года N 2395-1 "О недрах");</w:t>
      </w:r>
      <w:r>
        <w:rPr>
          <w:rFonts w:ascii="Arial" w:hAnsi="Arial" w:cs="Arial"/>
          <w:color w:val="444444"/>
        </w:rPr>
        <w:br/>
      </w:r>
    </w:p>
    <w:p w14:paraId="5BAD9C0C"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2E485B91"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 по имеющейся у Уполномоченного органа информации в границах предлагаемого участка недр местного значения находятся редкие и находящиеся под угрозой исчезновения растения, животные и другие организмы, занесенные в Красную книгу Российской Федерации и (или) Красную книгу Тюменской области, а также объекты, значимые для рыболовства, рыборазведения и сохранения водных биологических ресурсов (для участков недр местного значения, расположенных в границах водного объекта);</w:t>
      </w:r>
      <w:r>
        <w:rPr>
          <w:rFonts w:ascii="Arial" w:hAnsi="Arial" w:cs="Arial"/>
          <w:color w:val="444444"/>
        </w:rPr>
        <w:br/>
      </w:r>
    </w:p>
    <w:p w14:paraId="28ED9009"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3CBB7240"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 установлены обременения на часть или на весь земельный участок, расположенный в границах предлагаемого участка недр местного значения;</w:t>
      </w:r>
      <w:r>
        <w:rPr>
          <w:rFonts w:ascii="Arial" w:hAnsi="Arial" w:cs="Arial"/>
          <w:color w:val="444444"/>
        </w:rPr>
        <w:br/>
      </w:r>
    </w:p>
    <w:p w14:paraId="7E1AD7F0"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66DB1875"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15) предлагаемый участок недр местного значения полностью или частично расположен в зоне с особыми условиями использования территорий, предусмотренной статьей 105 Земельного кодекса Российской Федерации от 25.10.2001 N 136-ФЗ (в случае если их положением запрещается пользование недрами);</w:t>
      </w:r>
      <w:r>
        <w:rPr>
          <w:rFonts w:ascii="Arial" w:hAnsi="Arial" w:cs="Arial"/>
          <w:color w:val="444444"/>
        </w:rPr>
        <w:br/>
      </w:r>
    </w:p>
    <w:p w14:paraId="7E462D85"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654D5288"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16) в случае если пользование недрами на территориях населенных пунктов, пригородных зон, объектов промышленности, транспорта и связи может создать угрозу жизни и здоровью людей, нанести ущерб хозяйственным объектам или окружающей среде;</w:t>
      </w:r>
      <w:r>
        <w:rPr>
          <w:rFonts w:ascii="Arial" w:hAnsi="Arial" w:cs="Arial"/>
          <w:color w:val="444444"/>
        </w:rPr>
        <w:br/>
      </w:r>
    </w:p>
    <w:p w14:paraId="62641820"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34FE72F8"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17) ограничение или запрет пользования отдельными участками недр в целях обеспечения национальной безопасности и охраны окружающей среды;</w:t>
      </w:r>
      <w:r>
        <w:rPr>
          <w:rFonts w:ascii="Arial" w:hAnsi="Arial" w:cs="Arial"/>
          <w:color w:val="444444"/>
        </w:rPr>
        <w:br/>
      </w:r>
    </w:p>
    <w:p w14:paraId="208D6ACA"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6C4680ED"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18) предлагаемый участок недр либо его часть расположены в границах земельного участка из состава земель обороны, безопасности;</w:t>
      </w:r>
      <w:r>
        <w:rPr>
          <w:rFonts w:ascii="Arial" w:hAnsi="Arial" w:cs="Arial"/>
          <w:color w:val="444444"/>
        </w:rPr>
        <w:br/>
      </w:r>
    </w:p>
    <w:p w14:paraId="67CCF11E"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3C4AF0D4"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19) отказ в согласовании проекта Перечня участков недр местного значения территориальным органом Федерального агентства по недропользованию в соответствии с приказом Роснедр от 15.06.2012 N 687.</w:t>
      </w:r>
      <w:r>
        <w:rPr>
          <w:rFonts w:ascii="Arial" w:hAnsi="Arial" w:cs="Arial"/>
          <w:color w:val="444444"/>
        </w:rPr>
        <w:br/>
      </w:r>
    </w:p>
    <w:p w14:paraId="2205C232"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51F7AF16"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По результатам рассмотрения сведений, подлежащих включению в Перечень, Уполномоченный орган в течение 5 рабочих дней, следующих за днем получения последнего ответа на запрос:</w:t>
      </w:r>
      <w:r>
        <w:rPr>
          <w:rFonts w:ascii="Arial" w:hAnsi="Arial" w:cs="Arial"/>
          <w:color w:val="444444"/>
        </w:rPr>
        <w:br/>
      </w:r>
    </w:p>
    <w:p w14:paraId="2604BE4E"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1F056B9D"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при наличии оснований для отказа, предусмотренных подпунктами </w:t>
      </w:r>
      <w:proofErr w:type="gramStart"/>
      <w:r>
        <w:rPr>
          <w:rFonts w:ascii="Arial" w:hAnsi="Arial" w:cs="Arial"/>
          <w:color w:val="444444"/>
        </w:rPr>
        <w:t>1 - 18</w:t>
      </w:r>
      <w:proofErr w:type="gramEnd"/>
      <w:r>
        <w:rPr>
          <w:rFonts w:ascii="Arial" w:hAnsi="Arial" w:cs="Arial"/>
          <w:color w:val="444444"/>
        </w:rPr>
        <w:t xml:space="preserve"> пункта 9 Порядка, направляет заинтересованному лицу решение об отказе в формировании сведений, подлежащих включению в Перечень, с указанием причин отказа;</w:t>
      </w:r>
      <w:r>
        <w:rPr>
          <w:rFonts w:ascii="Arial" w:hAnsi="Arial" w:cs="Arial"/>
          <w:color w:val="444444"/>
        </w:rPr>
        <w:br/>
      </w:r>
    </w:p>
    <w:p w14:paraId="2DFE1F22"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08FD1E91"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при отсутствии оснований для отказа, предусмотренных подпунктами </w:t>
      </w:r>
      <w:proofErr w:type="gramStart"/>
      <w:r>
        <w:rPr>
          <w:rFonts w:ascii="Arial" w:hAnsi="Arial" w:cs="Arial"/>
          <w:color w:val="444444"/>
        </w:rPr>
        <w:t>1 - 18</w:t>
      </w:r>
      <w:proofErr w:type="gramEnd"/>
      <w:r>
        <w:rPr>
          <w:rFonts w:ascii="Arial" w:hAnsi="Arial" w:cs="Arial"/>
          <w:color w:val="444444"/>
        </w:rPr>
        <w:t xml:space="preserve"> пункта 9 Порядка, направляет подготовленный проект перечня участков недр местного значения на согласование в территориальный орган Федерального агентства по недропользованию - отдел геологии и лицензирования Департамента по недропользованию по Уральскому федеральному округу по Тюменской области.</w:t>
      </w:r>
      <w:r>
        <w:rPr>
          <w:rFonts w:ascii="Arial" w:hAnsi="Arial" w:cs="Arial"/>
          <w:color w:val="444444"/>
        </w:rPr>
        <w:br/>
      </w:r>
    </w:p>
    <w:p w14:paraId="718A5187"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6266925D"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В течение 10 рабочих дней со дня, следующего за днем получения согласования от территориального органа Федерального агентства по недропользованию - отдела геологии и лицензирования Департамента по недропользованию по Уральскому федеральному округу по Тюменской области:</w:t>
      </w:r>
      <w:r>
        <w:rPr>
          <w:rFonts w:ascii="Arial" w:hAnsi="Arial" w:cs="Arial"/>
          <w:color w:val="444444"/>
        </w:rPr>
        <w:br/>
      </w:r>
    </w:p>
    <w:p w14:paraId="1409F066"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5C584122"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принимает решение о включении предлагаемого участка недр местного значения в Перечень, оформляемого приказом;</w:t>
      </w:r>
      <w:r>
        <w:rPr>
          <w:rFonts w:ascii="Arial" w:hAnsi="Arial" w:cs="Arial"/>
          <w:color w:val="444444"/>
        </w:rPr>
        <w:br/>
      </w:r>
    </w:p>
    <w:p w14:paraId="40C7AB84"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470BAB96"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направляет заинтересованному лицу уведомление об итогах рассмотрения предложений.</w:t>
      </w:r>
      <w:r>
        <w:rPr>
          <w:rFonts w:ascii="Arial" w:hAnsi="Arial" w:cs="Arial"/>
          <w:color w:val="444444"/>
        </w:rPr>
        <w:br/>
      </w:r>
    </w:p>
    <w:p w14:paraId="25C28205" w14:textId="77777777" w:rsidR="0095759E" w:rsidRDefault="0095759E" w:rsidP="0095759E">
      <w:pPr>
        <w:pStyle w:val="formattext"/>
        <w:shd w:val="clear" w:color="auto" w:fill="FFFFFF"/>
        <w:spacing w:before="0" w:beforeAutospacing="0" w:after="0" w:afterAutospacing="0"/>
        <w:textAlignment w:val="baseline"/>
        <w:rPr>
          <w:rFonts w:ascii="Arial" w:hAnsi="Arial" w:cs="Arial"/>
          <w:color w:val="444444"/>
        </w:rPr>
      </w:pPr>
    </w:p>
    <w:p w14:paraId="3202BC34" w14:textId="77777777" w:rsidR="0095759E" w:rsidRDefault="0095759E" w:rsidP="0095759E">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 Уполномоченный орган публикует приказ о включении предлагаемого участка недр местного значения в Перечень на Официальном портале органов государственной власти Тюменской области в течение одного рабочего дня со дня, следующего за днем принятия приказа.</w:t>
      </w:r>
      <w:r>
        <w:rPr>
          <w:rFonts w:ascii="Arial" w:hAnsi="Arial" w:cs="Arial"/>
          <w:color w:val="444444"/>
        </w:rPr>
        <w:br/>
      </w:r>
    </w:p>
    <w:p w14:paraId="2DFAEE2F" w14:textId="77777777" w:rsidR="0095759E" w:rsidRDefault="0095759E" w:rsidP="0095759E">
      <w:pPr>
        <w:pStyle w:val="3"/>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w:t>
      </w:r>
      <w:r>
        <w:rPr>
          <w:rFonts w:ascii="Arial" w:hAnsi="Arial" w:cs="Arial"/>
          <w:color w:val="444444"/>
          <w:sz w:val="24"/>
          <w:szCs w:val="24"/>
        </w:rPr>
        <w:br/>
        <w:t>к Порядку формирования сведений, подлежащих включению</w:t>
      </w:r>
      <w:r>
        <w:rPr>
          <w:rFonts w:ascii="Arial" w:hAnsi="Arial" w:cs="Arial"/>
          <w:color w:val="444444"/>
          <w:sz w:val="24"/>
          <w:szCs w:val="24"/>
        </w:rPr>
        <w:br/>
        <w:t>в перечень участков недр местного значения Тюменской области</w:t>
      </w:r>
    </w:p>
    <w:p w14:paraId="0E904C01"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Предложение оформляется на фирменном </w:t>
      </w:r>
    </w:p>
    <w:p w14:paraId="50C08E6A"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бланке заявителя с указанием </w:t>
      </w:r>
    </w:p>
    <w:p w14:paraId="0624605D"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исходящего номера и даты </w:t>
      </w:r>
    </w:p>
    <w:p w14:paraId="3C9179D2"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Директору Департамента </w:t>
      </w:r>
    </w:p>
    <w:p w14:paraId="33FB434F"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недропользования и экологии </w:t>
      </w:r>
    </w:p>
    <w:p w14:paraId="4951F541"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Тюменской области </w:t>
      </w:r>
    </w:p>
    <w:p w14:paraId="683AAA5C"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w:t>
      </w:r>
    </w:p>
    <w:p w14:paraId="2DA66CE8"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p>
    <w:p w14:paraId="64ACBFD2" w14:textId="77777777" w:rsidR="0095759E" w:rsidRDefault="0095759E" w:rsidP="0095759E">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Предложение для формирования сведений, подлежащих включению в перечень участков недр местного значения Тюменской области</w:t>
      </w:r>
    </w:p>
    <w:p w14:paraId="5247B653"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Прошу включить участок недр ____________________________, расположенный </w:t>
      </w:r>
    </w:p>
    <w:p w14:paraId="242A8298"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0DE0BF0A"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020D907E"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в  Перечень</w:t>
      </w:r>
      <w:proofErr w:type="gramEnd"/>
      <w:r>
        <w:rPr>
          <w:rFonts w:ascii="Courier New" w:hAnsi="Courier New" w:cs="Courier New"/>
          <w:color w:val="444444"/>
          <w:spacing w:val="-18"/>
        </w:rPr>
        <w:t xml:space="preserve">  участков  недр  местного значения по Тюменской области с целью </w:t>
      </w:r>
    </w:p>
    <w:p w14:paraId="5D6CEB8B"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(выбрать необходимое):</w:t>
      </w:r>
    </w:p>
    <w:p w14:paraId="36950F10"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w:t>
      </w:r>
    </w:p>
    <w:p w14:paraId="0F6FA1F2"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   геологического   </w:t>
      </w:r>
      <w:proofErr w:type="gramStart"/>
      <w:r>
        <w:rPr>
          <w:rFonts w:ascii="Courier New" w:hAnsi="Courier New" w:cs="Courier New"/>
          <w:color w:val="444444"/>
          <w:spacing w:val="-18"/>
        </w:rPr>
        <w:t>изучения,  разведки</w:t>
      </w:r>
      <w:proofErr w:type="gramEnd"/>
      <w:r>
        <w:rPr>
          <w:rFonts w:ascii="Courier New" w:hAnsi="Courier New" w:cs="Courier New"/>
          <w:color w:val="444444"/>
          <w:spacing w:val="-18"/>
        </w:rPr>
        <w:t xml:space="preserve">  и  добычи  общераспространенных </w:t>
      </w:r>
    </w:p>
    <w:p w14:paraId="48A47F2E"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полезных ископаемых;</w:t>
      </w:r>
    </w:p>
    <w:p w14:paraId="69AFDF60"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w:t>
      </w:r>
    </w:p>
    <w:p w14:paraId="1B1953A6"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 разведки и добычи общераспространенных полезных ископаемых;</w:t>
      </w:r>
    </w:p>
    <w:p w14:paraId="35AABEC1"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w:t>
      </w:r>
    </w:p>
    <w:p w14:paraId="7264B579"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/_/   разведки   </w:t>
      </w:r>
      <w:proofErr w:type="gramStart"/>
      <w:r>
        <w:rPr>
          <w:rFonts w:ascii="Courier New" w:hAnsi="Courier New" w:cs="Courier New"/>
          <w:color w:val="444444"/>
          <w:spacing w:val="-18"/>
        </w:rPr>
        <w:t>и  добычи</w:t>
      </w:r>
      <w:proofErr w:type="gramEnd"/>
      <w:r>
        <w:rPr>
          <w:rFonts w:ascii="Courier New" w:hAnsi="Courier New" w:cs="Courier New"/>
          <w:color w:val="444444"/>
          <w:spacing w:val="-18"/>
        </w:rPr>
        <w:t xml:space="preserve">  общераспространенных  полезных  ископаемых  при </w:t>
      </w:r>
    </w:p>
    <w:p w14:paraId="1C92C81D"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установлении факта открытия месторождения;</w:t>
      </w:r>
    </w:p>
    <w:p w14:paraId="4613BC67"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w:t>
      </w:r>
    </w:p>
    <w:p w14:paraId="7E2F9A46"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   </w:t>
      </w:r>
      <w:proofErr w:type="gramStart"/>
      <w:r>
        <w:rPr>
          <w:rFonts w:ascii="Courier New" w:hAnsi="Courier New" w:cs="Courier New"/>
          <w:color w:val="444444"/>
          <w:spacing w:val="-18"/>
        </w:rPr>
        <w:t>геологического  изучения</w:t>
      </w:r>
      <w:proofErr w:type="gramEnd"/>
      <w:r>
        <w:rPr>
          <w:rFonts w:ascii="Courier New" w:hAnsi="Courier New" w:cs="Courier New"/>
          <w:color w:val="444444"/>
          <w:spacing w:val="-18"/>
        </w:rPr>
        <w:t xml:space="preserve">  в  целях  поисков  и  оценки  месторождений </w:t>
      </w:r>
    </w:p>
    <w:p w14:paraId="033E6DFD"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общераспространенных полезных ископаемых.</w:t>
      </w:r>
    </w:p>
    <w:p w14:paraId="0D0E2E72"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Площадь участка ___________ га.</w:t>
      </w:r>
    </w:p>
    <w:p w14:paraId="74189358"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Балансовые запасы (прогнозные ресурсы) _____________________ (вид полезного </w:t>
      </w:r>
    </w:p>
    <w:p w14:paraId="6DD9962F"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ископаемого) составляют ________ тыс. м3 (тыс. т - для торфа).</w:t>
      </w:r>
    </w:p>
    <w:p w14:paraId="4F638A7A"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Подавая   настоящие   предложения   ___________________</w:t>
      </w:r>
      <w:proofErr w:type="gramStart"/>
      <w:r>
        <w:rPr>
          <w:rFonts w:ascii="Courier New" w:hAnsi="Courier New" w:cs="Courier New"/>
          <w:color w:val="444444"/>
          <w:spacing w:val="-18"/>
        </w:rPr>
        <w:t>_  (</w:t>
      </w:r>
      <w:proofErr w:type="gramEnd"/>
      <w:r>
        <w:rPr>
          <w:rFonts w:ascii="Courier New" w:hAnsi="Courier New" w:cs="Courier New"/>
          <w:color w:val="444444"/>
          <w:spacing w:val="-18"/>
        </w:rPr>
        <w:t xml:space="preserve">наименование </w:t>
      </w:r>
    </w:p>
    <w:p w14:paraId="38C43879"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организации, индивидуального предпринимателя) уведомлен о том, что:</w:t>
      </w:r>
    </w:p>
    <w:p w14:paraId="5AB73EBD"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1)   добыча   общераспространенных   полезных   </w:t>
      </w:r>
      <w:proofErr w:type="gramStart"/>
      <w:r>
        <w:rPr>
          <w:rFonts w:ascii="Courier New" w:hAnsi="Courier New" w:cs="Courier New"/>
          <w:color w:val="444444"/>
          <w:spacing w:val="-18"/>
        </w:rPr>
        <w:t>ископаемых  разрешаются</w:t>
      </w:r>
      <w:proofErr w:type="gramEnd"/>
      <w:r>
        <w:rPr>
          <w:rFonts w:ascii="Courier New" w:hAnsi="Courier New" w:cs="Courier New"/>
          <w:color w:val="444444"/>
          <w:spacing w:val="-18"/>
        </w:rPr>
        <w:t xml:space="preserve"> </w:t>
      </w:r>
    </w:p>
    <w:p w14:paraId="42EECF1F"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исключительно  на</w:t>
      </w:r>
      <w:proofErr w:type="gramEnd"/>
      <w:r>
        <w:rPr>
          <w:rFonts w:ascii="Courier New" w:hAnsi="Courier New" w:cs="Courier New"/>
          <w:color w:val="444444"/>
          <w:spacing w:val="-18"/>
        </w:rPr>
        <w:t xml:space="preserve">  земельных  участках,  имеющих  категорию  земель - земли </w:t>
      </w:r>
    </w:p>
    <w:p w14:paraId="5E8CB8C5"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промышленности</w:t>
      </w:r>
      <w:proofErr w:type="gramStart"/>
      <w:r>
        <w:rPr>
          <w:rFonts w:ascii="Courier New" w:hAnsi="Courier New" w:cs="Courier New"/>
          <w:color w:val="444444"/>
          <w:spacing w:val="-18"/>
        </w:rPr>
        <w:t xml:space="preserve">   (</w:t>
      </w:r>
      <w:proofErr w:type="gramEnd"/>
      <w:r>
        <w:rPr>
          <w:rFonts w:ascii="Courier New" w:hAnsi="Courier New" w:cs="Courier New"/>
          <w:color w:val="444444"/>
          <w:spacing w:val="-18"/>
        </w:rPr>
        <w:t>за   исключением   участков   недр   местного   значения,</w:t>
      </w:r>
    </w:p>
    <w:p w14:paraId="5799359B"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расположенных на землях лесного фонда);</w:t>
      </w:r>
    </w:p>
    <w:p w14:paraId="2BAA658F"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2)   запрещаются   разведка   </w:t>
      </w:r>
      <w:proofErr w:type="gramStart"/>
      <w:r>
        <w:rPr>
          <w:rFonts w:ascii="Courier New" w:hAnsi="Courier New" w:cs="Courier New"/>
          <w:color w:val="444444"/>
          <w:spacing w:val="-18"/>
        </w:rPr>
        <w:t>и  добыча</w:t>
      </w:r>
      <w:proofErr w:type="gramEnd"/>
      <w:r>
        <w:rPr>
          <w:rFonts w:ascii="Courier New" w:hAnsi="Courier New" w:cs="Courier New"/>
          <w:color w:val="444444"/>
          <w:spacing w:val="-18"/>
        </w:rPr>
        <w:t xml:space="preserve">  общераспространенных  полезных </w:t>
      </w:r>
    </w:p>
    <w:p w14:paraId="4306E828"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ископаемых </w:t>
      </w:r>
      <w:proofErr w:type="gramStart"/>
      <w:r>
        <w:rPr>
          <w:rFonts w:ascii="Courier New" w:hAnsi="Courier New" w:cs="Courier New"/>
          <w:color w:val="444444"/>
          <w:spacing w:val="-18"/>
        </w:rPr>
        <w:t>   (</w:t>
      </w:r>
      <w:proofErr w:type="gramEnd"/>
      <w:r>
        <w:rPr>
          <w:rFonts w:ascii="Courier New" w:hAnsi="Courier New" w:cs="Courier New"/>
          <w:color w:val="444444"/>
          <w:spacing w:val="-18"/>
        </w:rPr>
        <w:t xml:space="preserve">за    исключением    случаев,   если   разведка   и   добыча </w:t>
      </w:r>
    </w:p>
    <w:p w14:paraId="7B050BC3"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общераспространенных   </w:t>
      </w:r>
      <w:proofErr w:type="gramStart"/>
      <w:r>
        <w:rPr>
          <w:rFonts w:ascii="Courier New" w:hAnsi="Courier New" w:cs="Courier New"/>
          <w:color w:val="444444"/>
          <w:spacing w:val="-18"/>
        </w:rPr>
        <w:t>полезных  ископаемых</w:t>
      </w:r>
      <w:proofErr w:type="gramEnd"/>
      <w:r>
        <w:rPr>
          <w:rFonts w:ascii="Courier New" w:hAnsi="Courier New" w:cs="Courier New"/>
          <w:color w:val="444444"/>
          <w:spacing w:val="-18"/>
        </w:rPr>
        <w:t xml:space="preserve">  осуществляются  пользователями </w:t>
      </w:r>
    </w:p>
    <w:p w14:paraId="0BA131C0"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недр,  осуществляющими</w:t>
      </w:r>
      <w:proofErr w:type="gramEnd"/>
      <w:r>
        <w:rPr>
          <w:rFonts w:ascii="Courier New" w:hAnsi="Courier New" w:cs="Courier New"/>
          <w:color w:val="444444"/>
          <w:spacing w:val="-18"/>
        </w:rPr>
        <w:t xml:space="preserve">  разведку и добычу иных видов полезных ископаемых, в </w:t>
      </w:r>
    </w:p>
    <w:p w14:paraId="41FE5A9B"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границах  предоставленных</w:t>
      </w:r>
      <w:proofErr w:type="gramEnd"/>
      <w:r>
        <w:rPr>
          <w:rFonts w:ascii="Courier New" w:hAnsi="Courier New" w:cs="Courier New"/>
          <w:color w:val="444444"/>
          <w:spacing w:val="-18"/>
        </w:rPr>
        <w:t xml:space="preserve">  им в соответствии с законодательством Российской </w:t>
      </w:r>
    </w:p>
    <w:p w14:paraId="55E6CD91"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Федерации  о</w:t>
      </w:r>
      <w:proofErr w:type="gramEnd"/>
      <w:r>
        <w:rPr>
          <w:rFonts w:ascii="Courier New" w:hAnsi="Courier New" w:cs="Courier New"/>
          <w:color w:val="444444"/>
          <w:spacing w:val="-18"/>
        </w:rPr>
        <w:t xml:space="preserve">  недрах  горных  отводов  и  (или)  геологических  отводов  на </w:t>
      </w:r>
    </w:p>
    <w:p w14:paraId="126904AD"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основании утвержденного технического проекта в соответствии со статьей 19.1 </w:t>
      </w:r>
    </w:p>
    <w:p w14:paraId="61E521E2"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Закона  Российской</w:t>
      </w:r>
      <w:proofErr w:type="gramEnd"/>
      <w:r>
        <w:rPr>
          <w:rFonts w:ascii="Courier New" w:hAnsi="Courier New" w:cs="Courier New"/>
          <w:color w:val="444444"/>
          <w:spacing w:val="-18"/>
        </w:rPr>
        <w:t xml:space="preserve"> Федерации от 21 февраля 1992 года N 2395-1 "О недрах") в </w:t>
      </w:r>
    </w:p>
    <w:p w14:paraId="2E51CE6B"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границах водоохранных зон;</w:t>
      </w:r>
    </w:p>
    <w:p w14:paraId="1368A741"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3)  </w:t>
      </w:r>
      <w:proofErr w:type="gramStart"/>
      <w:r>
        <w:rPr>
          <w:rFonts w:ascii="Courier New" w:hAnsi="Courier New" w:cs="Courier New"/>
          <w:color w:val="444444"/>
          <w:spacing w:val="-18"/>
        </w:rPr>
        <w:t>добыча  общераспространенных</w:t>
      </w:r>
      <w:proofErr w:type="gramEnd"/>
      <w:r>
        <w:rPr>
          <w:rFonts w:ascii="Courier New" w:hAnsi="Courier New" w:cs="Courier New"/>
          <w:color w:val="444444"/>
          <w:spacing w:val="-18"/>
        </w:rPr>
        <w:t xml:space="preserve">  полезных  ископаемых  разрешается при </w:t>
      </w:r>
    </w:p>
    <w:p w14:paraId="30E52DEC"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наличии  следующих</w:t>
      </w:r>
      <w:proofErr w:type="gramEnd"/>
      <w:r>
        <w:rPr>
          <w:rFonts w:ascii="Courier New" w:hAnsi="Courier New" w:cs="Courier New"/>
          <w:color w:val="444444"/>
          <w:spacing w:val="-18"/>
        </w:rPr>
        <w:t xml:space="preserve">  документов,  оформленных  в  соответствии с действующим </w:t>
      </w:r>
    </w:p>
    <w:p w14:paraId="631F913F"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законодательством:</w:t>
      </w:r>
    </w:p>
    <w:p w14:paraId="4D1407E9"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правоустанавливающих документов на земельный участок;</w:t>
      </w:r>
    </w:p>
    <w:p w14:paraId="14805050"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roofErr w:type="gramStart"/>
      <w:r>
        <w:rPr>
          <w:rFonts w:ascii="Courier New" w:hAnsi="Courier New" w:cs="Courier New"/>
          <w:color w:val="444444"/>
          <w:spacing w:val="-18"/>
        </w:rPr>
        <w:t>утвержденного  и</w:t>
      </w:r>
      <w:proofErr w:type="gramEnd"/>
      <w:r>
        <w:rPr>
          <w:rFonts w:ascii="Courier New" w:hAnsi="Courier New" w:cs="Courier New"/>
          <w:color w:val="444444"/>
          <w:spacing w:val="-18"/>
        </w:rPr>
        <w:t xml:space="preserve">  согласованного  технического проекта на разработку </w:t>
      </w:r>
    </w:p>
    <w:p w14:paraId="1995B84C"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участка недр;</w:t>
      </w:r>
    </w:p>
    <w:p w14:paraId="1FCC0E08"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горноотводного акта, удостоверяющего границы горного отвода.</w:t>
      </w:r>
    </w:p>
    <w:p w14:paraId="72431B40"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Данный   перечень   ограничений   </w:t>
      </w:r>
      <w:proofErr w:type="gramStart"/>
      <w:r>
        <w:rPr>
          <w:rFonts w:ascii="Courier New" w:hAnsi="Courier New" w:cs="Courier New"/>
          <w:color w:val="444444"/>
          <w:spacing w:val="-18"/>
        </w:rPr>
        <w:t>в  пользование</w:t>
      </w:r>
      <w:proofErr w:type="gramEnd"/>
      <w:r>
        <w:rPr>
          <w:rFonts w:ascii="Courier New" w:hAnsi="Courier New" w:cs="Courier New"/>
          <w:color w:val="444444"/>
          <w:spacing w:val="-18"/>
        </w:rPr>
        <w:t xml:space="preserve">  недрами  не  является </w:t>
      </w:r>
    </w:p>
    <w:p w14:paraId="137957FF"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 xml:space="preserve">исчерпывающим.     Ответственность     за     несоблюдение     действующего </w:t>
      </w:r>
    </w:p>
    <w:p w14:paraId="31317AEC"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законодательства при пользовании недрами лежит на недропользователе.</w:t>
      </w:r>
    </w:p>
    <w:p w14:paraId="52458CCB"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Приложения:</w:t>
      </w:r>
    </w:p>
    <w:p w14:paraId="51373883"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Должность, Ф.И.О, полное наименование заявителя с указанием </w:t>
      </w:r>
    </w:p>
    <w:p w14:paraId="4E7FE197"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организационно-</w:t>
      </w:r>
      <w:proofErr w:type="gramStart"/>
      <w:r>
        <w:rPr>
          <w:rFonts w:ascii="Courier New" w:hAnsi="Courier New" w:cs="Courier New"/>
          <w:color w:val="444444"/>
          <w:spacing w:val="-18"/>
        </w:rPr>
        <w:t>правовой  формы</w:t>
      </w:r>
      <w:proofErr w:type="gramEnd"/>
      <w:r>
        <w:rPr>
          <w:rFonts w:ascii="Courier New" w:hAnsi="Courier New" w:cs="Courier New"/>
          <w:color w:val="444444"/>
          <w:spacing w:val="-18"/>
        </w:rPr>
        <w:t>,  подпись  уполномоченного  лица  заявителя,</w:t>
      </w:r>
    </w:p>
    <w:p w14:paraId="1AFE3C31"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печать (при наличии), дата.</w:t>
      </w:r>
    </w:p>
    <w:p w14:paraId="2657F194" w14:textId="77777777" w:rsidR="0095759E" w:rsidRDefault="0095759E" w:rsidP="0095759E">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Контактные данные исполнителя (телефон, </w:t>
      </w:r>
      <w:proofErr w:type="spellStart"/>
      <w:r>
        <w:rPr>
          <w:rFonts w:ascii="Courier New" w:hAnsi="Courier New" w:cs="Courier New"/>
          <w:color w:val="444444"/>
          <w:spacing w:val="-18"/>
        </w:rPr>
        <w:t>e-mail</w:t>
      </w:r>
      <w:proofErr w:type="spellEnd"/>
      <w:r>
        <w:rPr>
          <w:rFonts w:ascii="Courier New" w:hAnsi="Courier New" w:cs="Courier New"/>
          <w:color w:val="444444"/>
          <w:spacing w:val="-18"/>
        </w:rPr>
        <w:t>)</w:t>
      </w:r>
    </w:p>
    <w:p w14:paraId="16DB8313" w14:textId="77777777" w:rsidR="0095759E" w:rsidRDefault="0095759E" w:rsidP="0095759E"/>
    <w:p w14:paraId="5E435C0C" w14:textId="77777777" w:rsidR="00EF1E81" w:rsidRDefault="00EF1E8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5759E"/>
    <w:pPr>
      <w:spacing w:after="200" w:line="276" w:lineRule="auto"/>
    </w:pPr>
  </w:style>
  <w:style w:type="paragraph" w:styleId="2">
    <w:name w:val="heading 2"/>
    <w:basedOn w:val="a"/>
    <w:next w:val="a"/>
    <w:link w:val="20"/>
    <w:uiPriority w:val="9"/>
    <w:semiHidden/>
    <w:unhideWhenUsed/>
    <w:qFormat/>
    <w:rsid w:val="0095759E"/>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95759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5759E"/>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semiHidden/>
    <w:rsid w:val="0095759E"/>
    <w:rPr>
      <w:rFonts w:ascii="Times New Roman" w:eastAsia="Times New Roman" w:hAnsi="Times New Roman" w:cs="Times New Roman"/>
      <w:b/>
      <w:bCs/>
      <w:sz w:val="27"/>
      <w:szCs w:val="27"/>
      <w:lang w:eastAsia="ru-RU"/>
    </w:rPr>
  </w:style>
  <w:style w:type="paragraph" w:customStyle="1" w:styleId="headertext">
    <w:name w:val="headertext"/>
    <w:basedOn w:val="a"/>
    <w:rsid w:val="0095759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95759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95759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