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B77AD" w:rsidRDefault="00FB77AD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FB77AD" w:rsidRDefault="00FB77AD">
      <w:pPr>
        <w:pStyle w:val="EcoTitle"/>
        <w:jc w:val="center"/>
      </w:pPr>
      <w:r>
        <w:t>МИНИСТЕРСТВО ПРИРОДНЫХ РЕСУРСОВ И ЭКОЛОГИИ</w:t>
      </w:r>
    </w:p>
    <w:p w:rsidR="00FB77AD" w:rsidRDefault="00FB77AD">
      <w:pPr>
        <w:pStyle w:val="EcoTitle"/>
        <w:jc w:val="center"/>
      </w:pPr>
      <w:r>
        <w:t>РОССИЙСКОЙ ФЕДЕРАЦИИ</w:t>
      </w:r>
    </w:p>
    <w:p w:rsidR="00FB77AD" w:rsidRDefault="00FB77AD">
      <w:pPr>
        <w:pStyle w:val="EcoTitle"/>
        <w:jc w:val="center"/>
      </w:pPr>
    </w:p>
    <w:p w:rsidR="00FB77AD" w:rsidRDefault="00FB77AD">
      <w:pPr>
        <w:pStyle w:val="EcoTitle"/>
        <w:jc w:val="center"/>
      </w:pPr>
      <w:r>
        <w:t>ПИСЬМО</w:t>
      </w:r>
    </w:p>
    <w:p w:rsidR="00FB77AD" w:rsidRDefault="00FB77AD">
      <w:pPr>
        <w:pStyle w:val="EcoTitle"/>
        <w:jc w:val="center"/>
      </w:pPr>
      <w:r>
        <w:t>от 17 ноября 2011 г. N 06-14-44/16955</w:t>
      </w:r>
    </w:p>
    <w:p w:rsidR="00FB77AD" w:rsidRDefault="00FB77AD">
      <w:pPr>
        <w:pStyle w:val="EcoNormal"/>
        <w:ind w:firstLine="540"/>
        <w:jc w:val="both"/>
      </w:pPr>
    </w:p>
    <w:p w:rsidR="00FB77AD" w:rsidRDefault="00FB77AD">
      <w:pPr>
        <w:pStyle w:val="EcoNormal"/>
        <w:ind w:firstLine="540"/>
        <w:jc w:val="both"/>
      </w:pPr>
      <w:r>
        <w:t>Минприроды России рассмотрело обращение Федеральной службы по надзору в сфере природопользования о разъяснении необходимости получения водопользователями разрешительных документов на право пользования водным объектом при эксплуатации подводных переходов и нефтепроводов, пересекающих водные преграды ниже естественных отметок дна, и сообщает.</w:t>
      </w:r>
    </w:p>
    <w:p w:rsidR="00FB77AD" w:rsidRDefault="00FB77AD">
      <w:pPr>
        <w:pStyle w:val="EcoNormal"/>
        <w:ind w:firstLine="540"/>
        <w:jc w:val="both"/>
      </w:pPr>
      <w:r>
        <w:t>Правилами охраны магистральных трубопроводов, утвержденными постановлением Госгортехнадзора России от 22 апреля 1992 г. N 9, регламентированы мероприятия по обустройству и охране трасс магистральных трубопроводов.</w:t>
      </w:r>
    </w:p>
    <w:p w:rsidR="00FB77AD" w:rsidRDefault="00FB77AD">
      <w:pPr>
        <w:pStyle w:val="EcoNormal"/>
        <w:ind w:firstLine="540"/>
        <w:jc w:val="both"/>
      </w:pPr>
      <w:r>
        <w:t>В частности, пересечения трубопроводов (нефтепроводов) с судоходными и сплавными реками, а также каналами обозначаются сигнальными знаками, установленными на берегу по согласованию с бассейновыми управлениями водного пути (управлениями каналов), и включаются в перечень судоходной обстановки и лоцманские карты, трассы морских трубопроводов указываются в Извещениях мореплавателям и наносятся на морские карты.</w:t>
      </w:r>
    </w:p>
    <w:p w:rsidR="00FB77AD" w:rsidRDefault="00FB77AD">
      <w:pPr>
        <w:pStyle w:val="EcoNormal"/>
        <w:ind w:firstLine="540"/>
        <w:jc w:val="both"/>
      </w:pPr>
      <w:r>
        <w:t>Вдоль подводных переходов, для исключения возможности повреждения трубопроводов, устанавливаются охранные зоны в виде участка водного пространства от водной поверхности до дна, заключенного между параллельными плоскостями, отстоящими от осей крайних ниток переходов на 100 метров с каждой стороны, в которых вводятся ограничения на ведение хозяйственной деятельности.</w:t>
      </w:r>
    </w:p>
    <w:p w:rsidR="00FB77AD" w:rsidRDefault="00FB77AD">
      <w:pPr>
        <w:pStyle w:val="EcoNormal"/>
        <w:ind w:firstLine="540"/>
        <w:jc w:val="both"/>
      </w:pPr>
      <w:r>
        <w:t>Установление охранной зоны ограничивает либо исключает использование водного объекта в ее границах в иных целях, установленных Водным кодексом Российской Федерации от 3 июня 2006 года N 74-ФЗ (Водный кодекс), в том числе осуществления общего водопользования.</w:t>
      </w:r>
    </w:p>
    <w:p w:rsidR="00FB77AD" w:rsidRDefault="00FB77AD">
      <w:pPr>
        <w:pStyle w:val="EcoNormal"/>
        <w:ind w:firstLine="540"/>
        <w:jc w:val="both"/>
      </w:pPr>
      <w:r>
        <w:t>Учитывая изложенное, а также правоприменительную практику с учетом нормы части 3 статьи 11 Водного кодекса, которая устанавливает закрытый перечень случаев, когда заключение договора водопользования или принятие решения о предоставлении водного объекта в пользование не требуется, предоставление водных объектов в пользование для указанных целей надлежит осуществлять как в случае использования акватории водных объектов (пункт 2 части 1 статьи 11 Водного кодекса) на основании договора водопользования.</w:t>
      </w:r>
    </w:p>
    <w:p w:rsidR="00FB77AD" w:rsidRDefault="00FB77AD">
      <w:pPr>
        <w:pStyle w:val="EcoNormal"/>
        <w:ind w:firstLine="540"/>
        <w:jc w:val="both"/>
      </w:pPr>
    </w:p>
    <w:p w:rsidR="00FB77AD" w:rsidRDefault="00FB77AD">
      <w:pPr>
        <w:pStyle w:val="EcoNormal"/>
        <w:jc w:val="right"/>
      </w:pPr>
      <w:r>
        <w:t>Н.В.ПОПОВ</w:t>
      </w:r>
    </w:p>
    <w:p w:rsidR="00FB77AD" w:rsidRDefault="00FB77AD">
      <w:pPr>
        <w:pStyle w:val="EcoNormal"/>
        <w:ind w:firstLine="540"/>
        <w:jc w:val="both"/>
      </w:pPr>
    </w:p>
    <w:p w:rsidR="00FB77AD" w:rsidRDefault="00FB77AD">
      <w:pPr>
        <w:pStyle w:val="EcoNormal"/>
        <w:ind w:firstLine="540"/>
        <w:jc w:val="both"/>
      </w:pPr>
    </w:p>
    <w:p w:rsidR="00FB77AD" w:rsidRDefault="00FB77A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6083F" w:rsidRDefault="0076083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B77A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B77A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B77A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