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34B592" w14:textId="77777777" w:rsidR="008117B3" w:rsidRDefault="008117B3" w:rsidP="008117B3">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ТУЛЬСКОЙ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28 сентября 2021 года N 608</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Положения о региональном государственном геологическом контроле (надзоре) на территории Тульской области</w:t>
      </w:r>
    </w:p>
    <w:p w14:paraId="1C268EEA"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0E455791"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Законом Российской Федерации от 21 февраля 1992 года N 2395-1 "О недрах", Федеральным законом от 31 июля 2020 года N 248-ФЗ "О государственном контроле (надзоре) и муниципальном контроле в Российской Федерации", на основании статьи 48 Устава (Основного Закона) Тульской области правительство Тульской области постановляет:</w:t>
      </w:r>
      <w:r>
        <w:rPr>
          <w:rFonts w:ascii="Arial" w:hAnsi="Arial" w:cs="Arial"/>
          <w:color w:val="444444"/>
        </w:rPr>
        <w:br/>
      </w:r>
    </w:p>
    <w:p w14:paraId="153CFDC4"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FE0027F"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Положение о региональном государственном геологическом контроле (надзоре) на территории Тульской области (приложение).</w:t>
      </w:r>
      <w:r>
        <w:rPr>
          <w:rFonts w:ascii="Arial" w:hAnsi="Arial" w:cs="Arial"/>
          <w:color w:val="444444"/>
        </w:rPr>
        <w:br/>
      </w:r>
    </w:p>
    <w:p w14:paraId="2FCCA81E"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95A428A"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Постановление вступает в силу:</w:t>
      </w:r>
      <w:r>
        <w:rPr>
          <w:rFonts w:ascii="Arial" w:hAnsi="Arial" w:cs="Arial"/>
          <w:color w:val="444444"/>
        </w:rPr>
        <w:br/>
      </w:r>
    </w:p>
    <w:p w14:paraId="76B79873"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7C605854"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части формирования плана проведения плановых контрольных (надзорных) мероприятий на очередной календарный год со дня официального опубликования;</w:t>
      </w:r>
      <w:r>
        <w:rPr>
          <w:rFonts w:ascii="Arial" w:hAnsi="Arial" w:cs="Arial"/>
          <w:color w:val="444444"/>
        </w:rPr>
        <w:br/>
      </w:r>
    </w:p>
    <w:p w14:paraId="172985BB"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2EFC0A1C"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части осуществления регионального государственного геологического контроля (надзора) на территории Тульской области с 1 января 2022 года.</w:t>
      </w:r>
      <w:r>
        <w:rPr>
          <w:rFonts w:ascii="Arial" w:hAnsi="Arial" w:cs="Arial"/>
          <w:color w:val="444444"/>
        </w:rPr>
        <w:br/>
      </w:r>
    </w:p>
    <w:p w14:paraId="161CB056" w14:textId="77777777" w:rsidR="008117B3" w:rsidRDefault="008117B3" w:rsidP="008117B3">
      <w:pPr>
        <w:pStyle w:val="formattext"/>
        <w:shd w:val="clear" w:color="auto" w:fill="FFFFFF"/>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Первый заместитель Губернатора</w:t>
      </w:r>
      <w:r>
        <w:rPr>
          <w:rFonts w:ascii="Arial" w:hAnsi="Arial" w:cs="Arial"/>
          <w:color w:val="444444"/>
        </w:rPr>
        <w:br/>
        <w:t>Тульской области - председатель</w:t>
      </w:r>
      <w:r>
        <w:rPr>
          <w:rFonts w:ascii="Arial" w:hAnsi="Arial" w:cs="Arial"/>
          <w:color w:val="444444"/>
        </w:rPr>
        <w:br/>
        <w:t>правительства Тульской области</w:t>
      </w:r>
      <w:r>
        <w:rPr>
          <w:rFonts w:ascii="Arial" w:hAnsi="Arial" w:cs="Arial"/>
          <w:color w:val="444444"/>
        </w:rPr>
        <w:br/>
        <w:t>В.В.ШЕРИН</w:t>
      </w:r>
    </w:p>
    <w:p w14:paraId="65A596C0" w14:textId="77777777" w:rsidR="008117B3" w:rsidRDefault="008117B3" w:rsidP="008117B3">
      <w:pPr>
        <w:pStyle w:val="2"/>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Тульской области</w:t>
      </w:r>
      <w:r>
        <w:rPr>
          <w:rFonts w:ascii="Arial" w:hAnsi="Arial" w:cs="Arial"/>
          <w:color w:val="444444"/>
          <w:sz w:val="24"/>
          <w:szCs w:val="24"/>
        </w:rPr>
        <w:br/>
        <w:t>от 28.09.2021 N 608</w:t>
      </w:r>
    </w:p>
    <w:p w14:paraId="1C9536D8" w14:textId="77777777" w:rsidR="008117B3" w:rsidRDefault="008117B3" w:rsidP="008117B3">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ПОЛОЖЕНИЕ О РЕГИОНАЛЬНОМ ГОСУДАРСТВЕННОМ ГЕОЛОГИЧЕСКОМ КОНТРОЛЕ (НАДЗОРЕ) НА ТЕРРИТОРИИ ТУЛЬСКОЙ ОБЛАСТИ</w:t>
      </w:r>
    </w:p>
    <w:p w14:paraId="2365AFF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0F1BA897"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Настоящее Положение определяет порядок организации и осуществления регионального государственного геологического контроля (надзора) на территории Тульской области (далее - государственный геологический контроль).</w:t>
      </w:r>
      <w:r>
        <w:rPr>
          <w:rFonts w:ascii="Arial" w:hAnsi="Arial" w:cs="Arial"/>
          <w:color w:val="444444"/>
        </w:rPr>
        <w:br/>
      </w:r>
    </w:p>
    <w:p w14:paraId="331F5BE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514BB53"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Предметом государственного геологического контроля в отношении участков недр местного значения является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года N 2395-1 "О недрах" (далее - Закон "О недрах"),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Тульской области, принятыми в пределах полномочий по регулированию отношений в области использования и охраны недр на территории Тульской области,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r>
        <w:rPr>
          <w:rFonts w:ascii="Arial" w:hAnsi="Arial" w:cs="Arial"/>
          <w:color w:val="444444"/>
        </w:rPr>
        <w:br/>
      </w:r>
    </w:p>
    <w:p w14:paraId="17635145"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831900B"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геологический контроль направлен на предупреждение, выявление и пресечение нарушений организациями и гражданами обязательных требований, за исключением требований, являющихся предметом государственного горного надзора в соответствии со статьей 38 Закона "О недрах", в том числе по следующим вопросам:</w:t>
      </w:r>
      <w:r>
        <w:rPr>
          <w:rFonts w:ascii="Arial" w:hAnsi="Arial" w:cs="Arial"/>
          <w:color w:val="444444"/>
        </w:rPr>
        <w:br/>
      </w:r>
    </w:p>
    <w:p w14:paraId="006FD6E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D934A42"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наличие утвержденной проектной документации, предусмотренной статьями 23.2 и 36.1 Закона "О недрах";</w:t>
      </w:r>
      <w:r>
        <w:rPr>
          <w:rFonts w:ascii="Arial" w:hAnsi="Arial" w:cs="Arial"/>
          <w:color w:val="444444"/>
        </w:rPr>
        <w:br/>
      </w:r>
    </w:p>
    <w:p w14:paraId="76949B9E"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3E22F94E"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соблюдение требований проектной документации, предусмотренной статьями 23.2 и 36.1 Закона "О недрах", недопущение сверхнормативных потерь, разубоживания и выборочной отработки полезных ископаемых;</w:t>
      </w:r>
      <w:r>
        <w:rPr>
          <w:rFonts w:ascii="Arial" w:hAnsi="Arial" w:cs="Arial"/>
          <w:color w:val="444444"/>
        </w:rPr>
        <w:br/>
      </w:r>
    </w:p>
    <w:p w14:paraId="5EC2F76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78994077"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ведение геологической и иной документации при осуществлении видов пользования недрами, предусмотренных статьей 6 Закона "О недрах", обеспечение ее сохранности;</w:t>
      </w:r>
      <w:r>
        <w:rPr>
          <w:rFonts w:ascii="Arial" w:hAnsi="Arial" w:cs="Arial"/>
          <w:color w:val="444444"/>
        </w:rPr>
        <w:br/>
      </w:r>
    </w:p>
    <w:p w14:paraId="2A4B1B94"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1E6DCA78"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соблюдение требований по рациональному использованию и охране недр;</w:t>
      </w:r>
      <w:r>
        <w:rPr>
          <w:rFonts w:ascii="Arial" w:hAnsi="Arial" w:cs="Arial"/>
          <w:color w:val="444444"/>
        </w:rPr>
        <w:br/>
      </w:r>
    </w:p>
    <w:p w14:paraId="74FD1EEE"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2D987949"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достоверность содержания геологической и иной документации о состоянии и изменении запасов полезных ископаемых;</w:t>
      </w:r>
      <w:r>
        <w:rPr>
          <w:rFonts w:ascii="Arial" w:hAnsi="Arial" w:cs="Arial"/>
          <w:color w:val="444444"/>
        </w:rPr>
        <w:br/>
      </w:r>
    </w:p>
    <w:p w14:paraId="4D71C3DB"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20737656"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соблюдение установленного порядка представления государственной отчетности, а также геологической информации о недрах в фонд геологической </w:t>
      </w:r>
      <w:r>
        <w:rPr>
          <w:rFonts w:ascii="Arial" w:hAnsi="Arial" w:cs="Arial"/>
          <w:color w:val="444444"/>
        </w:rPr>
        <w:lastRenderedPageBreak/>
        <w:t>информации Тульской области;</w:t>
      </w:r>
      <w:r>
        <w:rPr>
          <w:rFonts w:ascii="Arial" w:hAnsi="Arial" w:cs="Arial"/>
          <w:color w:val="444444"/>
        </w:rPr>
        <w:br/>
      </w:r>
    </w:p>
    <w:p w14:paraId="088F898D"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059CA491"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своевременное и правильное внесение платежей за пользование недрами;</w:t>
      </w:r>
      <w:r>
        <w:rPr>
          <w:rFonts w:ascii="Arial" w:hAnsi="Arial" w:cs="Arial"/>
          <w:color w:val="444444"/>
        </w:rPr>
        <w:br/>
      </w:r>
    </w:p>
    <w:p w14:paraId="656206F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7CB15B8F"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выполнение условий, установленных лицензией на пользование недрами или соглашением о разделе продукции;</w:t>
      </w:r>
      <w:r>
        <w:rPr>
          <w:rFonts w:ascii="Arial" w:hAnsi="Arial" w:cs="Arial"/>
          <w:color w:val="444444"/>
        </w:rPr>
        <w:br/>
      </w:r>
    </w:p>
    <w:p w14:paraId="3B12817F"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4FFECB6A"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сохранность находящихся на участке недр горных выработок, буровых скважин и иных сооружений, связанных с пользованием недрами, которые могут быть использованы при разработке месторождений полезных ископаемых и (или) в иных целях;</w:t>
      </w:r>
      <w:r>
        <w:rPr>
          <w:rFonts w:ascii="Arial" w:hAnsi="Arial" w:cs="Arial"/>
          <w:color w:val="444444"/>
        </w:rPr>
        <w:br/>
      </w:r>
    </w:p>
    <w:p w14:paraId="7CCE7905"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1805BB04"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предотвращение самовольного пользования недрами;</w:t>
      </w:r>
      <w:r>
        <w:rPr>
          <w:rFonts w:ascii="Arial" w:hAnsi="Arial" w:cs="Arial"/>
          <w:color w:val="444444"/>
        </w:rPr>
        <w:br/>
      </w:r>
    </w:p>
    <w:p w14:paraId="2EE44838"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06B355ED"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предотвращение самовольной застройки земельных участков, расположенных за границами населенных пунктов и находящихся на площадях залегания полезных ископаемых, а также размещения за границами населенных пунктов в местах залегания полезных ископаемых подземных сооружений;</w:t>
      </w:r>
      <w:r>
        <w:rPr>
          <w:rFonts w:ascii="Arial" w:hAnsi="Arial" w:cs="Arial"/>
          <w:color w:val="444444"/>
        </w:rPr>
        <w:br/>
      </w:r>
    </w:p>
    <w:p w14:paraId="28F426D0"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3981B881"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достоверность данных о разведанных, извлекаемых и оставляемых в недрах запасах полезных ископаемых, содержащихся в них компонентах, об использовании недр в целях, не связанных с добычей полезных ископаемых, включаемых в государственную отчетность организациями, осуществляющими разведку месторождений полезных ископаемых и их добычу;</w:t>
      </w:r>
      <w:r>
        <w:rPr>
          <w:rFonts w:ascii="Arial" w:hAnsi="Arial" w:cs="Arial"/>
          <w:color w:val="444444"/>
        </w:rPr>
        <w:br/>
      </w:r>
    </w:p>
    <w:p w14:paraId="408FF685"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6DF114FF"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приведение участков земли и других природных объектов, нарушенных при пользовании недрами, в состояние, пригодное для их дальнейшего использования;</w:t>
      </w:r>
      <w:r>
        <w:rPr>
          <w:rFonts w:ascii="Arial" w:hAnsi="Arial" w:cs="Arial"/>
          <w:color w:val="444444"/>
        </w:rPr>
        <w:br/>
      </w:r>
    </w:p>
    <w:p w14:paraId="54BF5BD1"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4C325165"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исключение негативного воздействия на окружающую среду при размещении в пластах горных пород попутных вод, вод, использованных пользователями недр для собственных производственных и технологических нужд, вод, образующихся у пользователей недр, осуществляющих разведку и добычу, а также первичную переработку калийных и магниевых солей;</w:t>
      </w:r>
      <w:r>
        <w:rPr>
          <w:rFonts w:ascii="Arial" w:hAnsi="Arial" w:cs="Arial"/>
          <w:color w:val="444444"/>
        </w:rPr>
        <w:br/>
      </w:r>
    </w:p>
    <w:p w14:paraId="41695BD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01F44FC0"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ликвидация и консервация горных выработок, буровых скважин и иных сооружений, связанных с пользованием недрами.</w:t>
      </w:r>
      <w:r>
        <w:rPr>
          <w:rFonts w:ascii="Arial" w:hAnsi="Arial" w:cs="Arial"/>
          <w:color w:val="444444"/>
        </w:rPr>
        <w:br/>
      </w:r>
    </w:p>
    <w:p w14:paraId="14A41EAB"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77393626"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К разрешительным документам, содержащим требования, оценка соблюдения которых проводится в рамках государственного геологического контроля, относятся:</w:t>
      </w:r>
      <w:r>
        <w:rPr>
          <w:rFonts w:ascii="Arial" w:hAnsi="Arial" w:cs="Arial"/>
          <w:color w:val="444444"/>
        </w:rPr>
        <w:br/>
      </w:r>
    </w:p>
    <w:p w14:paraId="68DF5134"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A3B2C67"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проектная документация, предусмотренная статьей 23.2 Закона "О недрах";</w:t>
      </w:r>
      <w:r>
        <w:rPr>
          <w:rFonts w:ascii="Arial" w:hAnsi="Arial" w:cs="Arial"/>
          <w:color w:val="444444"/>
        </w:rPr>
        <w:br/>
      </w:r>
    </w:p>
    <w:p w14:paraId="2B235691"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05BCC8C7"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проектная документация, предусмотренная статьей 36.1 Закона "О недрах";</w:t>
      </w:r>
      <w:r>
        <w:rPr>
          <w:rFonts w:ascii="Arial" w:hAnsi="Arial" w:cs="Arial"/>
          <w:color w:val="444444"/>
        </w:rPr>
        <w:br/>
      </w:r>
    </w:p>
    <w:p w14:paraId="366F3470"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633B84BA"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документы, удостоверяющие уточненные границы горного отвода, предусмотренные статьей 7 Закона "О недрах";</w:t>
      </w:r>
      <w:r>
        <w:rPr>
          <w:rFonts w:ascii="Arial" w:hAnsi="Arial" w:cs="Arial"/>
          <w:color w:val="444444"/>
        </w:rPr>
        <w:br/>
      </w:r>
    </w:p>
    <w:p w14:paraId="7D5FBDD1"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5D01EA7E"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план и (или) схема развития горных работ, предусмотренные статьей 24 Закона "О недрах";</w:t>
      </w:r>
      <w:r>
        <w:rPr>
          <w:rFonts w:ascii="Arial" w:hAnsi="Arial" w:cs="Arial"/>
          <w:color w:val="444444"/>
        </w:rPr>
        <w:br/>
      </w:r>
    </w:p>
    <w:p w14:paraId="2D8DCF72"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345C22EE"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Pr>
          <w:rFonts w:ascii="Arial" w:hAnsi="Arial" w:cs="Arial"/>
          <w:color w:val="444444"/>
        </w:rPr>
        <w:br/>
      </w:r>
    </w:p>
    <w:p w14:paraId="4DB4C81F" w14:textId="77777777" w:rsidR="008117B3" w:rsidRDefault="008117B3" w:rsidP="008117B3">
      <w:pPr>
        <w:pStyle w:val="formattext"/>
        <w:shd w:val="clear" w:color="auto" w:fill="FFFFFF"/>
        <w:spacing w:before="0" w:beforeAutospacing="0" w:after="0" w:afterAutospacing="0"/>
        <w:textAlignment w:val="baseline"/>
        <w:rPr>
          <w:rFonts w:ascii="Arial" w:hAnsi="Arial" w:cs="Arial"/>
          <w:color w:val="444444"/>
        </w:rPr>
      </w:pPr>
    </w:p>
    <w:p w14:paraId="2B6E27ED" w14:textId="77777777" w:rsidR="008117B3" w:rsidRDefault="008117B3" w:rsidP="008117B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решение о согласовании нормативов потерь общераспространенных полезных ископаемых и подземных вод с объемом добычи менее 500 куб. метров в сутки (за исключением питьевых и технических), превышающих по величине нормативы, утвержденные в составе проектной документации, предусмотренной статьей 23.2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p>
    <w:p w14:paraId="3BFE80B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 отношениям, связанным с осуществлением государственного геологического контроля, применяются положения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2D9BFF1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495C15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Государственный геологический контроль осуществляет министерство природных ресурсов и экологии Тульской области (далее - контрольный (надзорный) орган).</w:t>
      </w:r>
      <w:r>
        <w:rPr>
          <w:rFonts w:ascii="Arial" w:hAnsi="Arial" w:cs="Arial"/>
          <w:color w:val="444444"/>
        </w:rPr>
        <w:br/>
      </w:r>
    </w:p>
    <w:p w14:paraId="1026F1F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11E200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Должностными лицами, уполномоченными на принятие решений о проведении контрольных (надзорных) мероприятий, являются:</w:t>
      </w:r>
      <w:r>
        <w:rPr>
          <w:rFonts w:ascii="Arial" w:hAnsi="Arial" w:cs="Arial"/>
          <w:color w:val="444444"/>
        </w:rPr>
        <w:br/>
      </w:r>
    </w:p>
    <w:p w14:paraId="3BC03B7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8B6D6B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министр природных ресурсов и экологии Тульской области, являющийся главным государственным инспектором Тульской области в области охраны окружающей среды (далее - руководитель контрольного (надзорного) органа);</w:t>
      </w:r>
      <w:r>
        <w:rPr>
          <w:rFonts w:ascii="Arial" w:hAnsi="Arial" w:cs="Arial"/>
          <w:color w:val="444444"/>
        </w:rPr>
        <w:br/>
      </w:r>
    </w:p>
    <w:p w14:paraId="79572B8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02EA59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заместитель министра - директор департамента контроля и надзора в сфере экологии и природопользования министерства природных ресурсов и экологии Тульской области, являющийся заместителем главного государственного </w:t>
      </w:r>
      <w:r>
        <w:rPr>
          <w:rFonts w:ascii="Arial" w:hAnsi="Arial" w:cs="Arial"/>
          <w:color w:val="444444"/>
        </w:rPr>
        <w:lastRenderedPageBreak/>
        <w:t>инспектора Тульской области в области охраны окружающей среды (далее - заместитель руководителя контрольного (надзорного) органа).</w:t>
      </w:r>
      <w:r>
        <w:rPr>
          <w:rFonts w:ascii="Arial" w:hAnsi="Arial" w:cs="Arial"/>
          <w:color w:val="444444"/>
        </w:rPr>
        <w:br/>
      </w:r>
    </w:p>
    <w:p w14:paraId="3893D5A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A77E67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Объектами государственного геологического контроля являются деятельность организаций и граждан в области использования и охраны недр, участки недр местного значения, предоставленные в пользование, а также неиспользуемые части недр, за исключением объектов, подлежащих федеральному государственному геологическому контролю (надзору), а также объектов, подведомственных Федеральной службе безопасности Российской Федерации (далее соответственно - контролируемые лица, объекты контроля).</w:t>
      </w:r>
      <w:r>
        <w:rPr>
          <w:rFonts w:ascii="Arial" w:hAnsi="Arial" w:cs="Arial"/>
          <w:color w:val="444444"/>
        </w:rPr>
        <w:br/>
      </w:r>
    </w:p>
    <w:p w14:paraId="04D1670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06A64C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В рамках осуществления государственного геологического контроля объекты контроля могут быть отнесены к одной из следующих категорий риска причинения вреда (ущерба) охраняемым законом ценностям:</w:t>
      </w:r>
      <w:r>
        <w:rPr>
          <w:rFonts w:ascii="Arial" w:hAnsi="Arial" w:cs="Arial"/>
          <w:color w:val="444444"/>
        </w:rPr>
        <w:br/>
      </w:r>
    </w:p>
    <w:p w14:paraId="3CA96CC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ABEEE93"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категория значительного риска;</w:t>
      </w:r>
      <w:r>
        <w:rPr>
          <w:rFonts w:ascii="Arial" w:hAnsi="Arial" w:cs="Arial"/>
          <w:color w:val="444444"/>
        </w:rPr>
        <w:br/>
      </w:r>
    </w:p>
    <w:p w14:paraId="19D366E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E1F7C2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категория среднего риска;</w:t>
      </w:r>
      <w:r>
        <w:rPr>
          <w:rFonts w:ascii="Arial" w:hAnsi="Arial" w:cs="Arial"/>
          <w:color w:val="444444"/>
        </w:rPr>
        <w:br/>
      </w:r>
    </w:p>
    <w:p w14:paraId="78EB45B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4DDDA3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категория умеренного риска;</w:t>
      </w:r>
      <w:r>
        <w:rPr>
          <w:rFonts w:ascii="Arial" w:hAnsi="Arial" w:cs="Arial"/>
          <w:color w:val="444444"/>
        </w:rPr>
        <w:br/>
      </w:r>
    </w:p>
    <w:p w14:paraId="7E084E8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FB8C0C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категория низкого риска.</w:t>
      </w:r>
      <w:r>
        <w:rPr>
          <w:rFonts w:ascii="Arial" w:hAnsi="Arial" w:cs="Arial"/>
          <w:color w:val="444444"/>
        </w:rPr>
        <w:br/>
      </w:r>
    </w:p>
    <w:p w14:paraId="0DC9176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6943E6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 осуществлении плановых контрольных (надзорных) мероприятий объекты контроля, отнесенные в соответствии с критериями отнесения объектов, оказывающих негативное воздействие на окружающую среду, установленными статьей 4.2 Федерального закона "Об охране окружающей среды" 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к объектам III и IV категорий", относятся к следующим категориям риска:</w:t>
      </w:r>
      <w:r>
        <w:rPr>
          <w:rFonts w:ascii="Arial" w:hAnsi="Arial" w:cs="Arial"/>
          <w:color w:val="444444"/>
        </w:rPr>
        <w:br/>
      </w:r>
    </w:p>
    <w:p w14:paraId="302A1FA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B0C17D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 категории умеренного риска - объекты, соответствующие критериям отнесения объектов, оказывающих незначительное негативное воздействие на окружающую среду, к объектам III категории;</w:t>
      </w:r>
      <w:r>
        <w:rPr>
          <w:rFonts w:ascii="Arial" w:hAnsi="Arial" w:cs="Arial"/>
          <w:color w:val="444444"/>
        </w:rPr>
        <w:br/>
      </w:r>
    </w:p>
    <w:p w14:paraId="79FC51D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FDCE67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 категории низкого риска - объекты, соответствующие критериям отнесения объектов, оказывающих минимальное негативное воздействие на окружающую среду, к объектам IV категории.</w:t>
      </w:r>
      <w:r>
        <w:rPr>
          <w:rFonts w:ascii="Arial" w:hAnsi="Arial" w:cs="Arial"/>
          <w:color w:val="444444"/>
        </w:rPr>
        <w:br/>
      </w:r>
    </w:p>
    <w:p w14:paraId="388368E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45D67A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Объекты контроля, которые относятся в соответствии с пунктом 9 настоящего Положения к категориям умеренного, низкого риска, подлежат </w:t>
      </w:r>
      <w:r>
        <w:rPr>
          <w:rFonts w:ascii="Arial" w:hAnsi="Arial" w:cs="Arial"/>
          <w:color w:val="444444"/>
        </w:rPr>
        <w:lastRenderedPageBreak/>
        <w:t>отнесению к категориям среднего, умеренного риска соответственно в случае, если объект размещается:</w:t>
      </w:r>
      <w:r>
        <w:rPr>
          <w:rFonts w:ascii="Arial" w:hAnsi="Arial" w:cs="Arial"/>
          <w:color w:val="444444"/>
        </w:rPr>
        <w:br/>
      </w:r>
    </w:p>
    <w:p w14:paraId="2E5E287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D42486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 границах особо охраняемой природной территории регионального значения;</w:t>
      </w:r>
      <w:r>
        <w:rPr>
          <w:rFonts w:ascii="Arial" w:hAnsi="Arial" w:cs="Arial"/>
          <w:color w:val="444444"/>
        </w:rPr>
        <w:br/>
      </w:r>
    </w:p>
    <w:p w14:paraId="22E13B1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5A5A65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 водоохранных зонах водных объектов или их частей.</w:t>
      </w:r>
      <w:r>
        <w:rPr>
          <w:rFonts w:ascii="Arial" w:hAnsi="Arial" w:cs="Arial"/>
          <w:color w:val="444444"/>
        </w:rPr>
        <w:br/>
      </w:r>
    </w:p>
    <w:p w14:paraId="2EEA690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1CB6E0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Объекты контроля, которые отнесены в соответствии с пунктами 9 и 10 настоящего Положения к категориям среднего, умеренного, низкого риска, подлежат отнесению к категориям значительного, среднего, умеренного риска соответственно при наличии одного из следующих решений, вступивших в законную силу в течение 3 лет, предшествующих дате принятия решения об отнесении объекта контроля к категории риска:</w:t>
      </w:r>
      <w:r>
        <w:rPr>
          <w:rFonts w:ascii="Arial" w:hAnsi="Arial" w:cs="Arial"/>
          <w:color w:val="444444"/>
        </w:rPr>
        <w:br/>
      </w:r>
    </w:p>
    <w:p w14:paraId="24490FD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1F2349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постановление о назначении административного наказания контролируемому лицу и (или) его должностному лицу за совершение административного правонарушения, предусмотренного статьями 7.3, 7.4, частью 1 статьи 8.7, статьей 8.9, частью 1 статьи 8.10, статьей 8.11, частью 1 (в части нарушения водоохранного режима на водосборах подземных водных объектов), частью 3 статьи 8.13 Кодекса Российской Федерации об административных правонарушениях, вынесенного должностными лицами контрольного (надзорного) органа или судом на основании протокола об административном правонарушении, составленного должностными лицами контрольного (надзорного) органа;</w:t>
      </w:r>
      <w:r>
        <w:rPr>
          <w:rFonts w:ascii="Arial" w:hAnsi="Arial" w:cs="Arial"/>
          <w:color w:val="444444"/>
        </w:rPr>
        <w:br/>
      </w:r>
    </w:p>
    <w:p w14:paraId="63D7DA7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AE4289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приговор суда, вынесенный за совершение преступлений, предусмотренных статьей 255 Уголовного кодекса Российской Федерации;</w:t>
      </w:r>
      <w:r>
        <w:rPr>
          <w:rFonts w:ascii="Arial" w:hAnsi="Arial" w:cs="Arial"/>
          <w:color w:val="444444"/>
        </w:rPr>
        <w:br/>
      </w:r>
    </w:p>
    <w:p w14:paraId="4DF63F9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AF32F3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суда, предусматривающее обязанность контролируемого лица по возмещению вреда, причиненного недрам вследствие нарушения законодательства Российской Федерации о недрах, либо направленное контролируемому лицу требование о добровольном возмещении такого вреда, которое не признано недействительным.</w:t>
      </w:r>
      <w:r>
        <w:rPr>
          <w:rFonts w:ascii="Arial" w:hAnsi="Arial" w:cs="Arial"/>
          <w:color w:val="444444"/>
        </w:rPr>
        <w:br/>
      </w:r>
    </w:p>
    <w:p w14:paraId="5E665DB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8270E1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Объекты контроля, подлежащие отнесению в соответствии с абзацем вторым настоящего пункта к категориям значительного, среднего, умеренного риска, подлежат отнесению к категориям среднего, умеренного,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Pr>
          <w:rFonts w:ascii="Arial" w:hAnsi="Arial" w:cs="Arial"/>
          <w:color w:val="444444"/>
        </w:rPr>
        <w:br/>
      </w:r>
    </w:p>
    <w:p w14:paraId="2D53D6C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4627A8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Объекты контроля, которые отнесены в соответствии с пунктами 9 и 10 настоящего Положения к категориям значительного, среднего, умеренного риска, подлежат отнесению к категориям среднего, умеренного, низкого риска </w:t>
      </w:r>
      <w:r>
        <w:rPr>
          <w:rFonts w:ascii="Arial" w:hAnsi="Arial" w:cs="Arial"/>
          <w:color w:val="444444"/>
        </w:rPr>
        <w:lastRenderedPageBreak/>
        <w:t>соответственно при отсутствии в течение 3 лет, предшествующих дате принятия решения об отнесении объекта контроля к категории риска, вступивших в законную силу решений, предусмотренных настоящим пунктом, и одновременном соблюдении требований законодательства Российской Федерации о недрах.</w:t>
      </w:r>
      <w:r>
        <w:rPr>
          <w:rFonts w:ascii="Arial" w:hAnsi="Arial" w:cs="Arial"/>
          <w:color w:val="444444"/>
        </w:rPr>
        <w:br/>
      </w:r>
    </w:p>
    <w:p w14:paraId="5102C99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2FD2D3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Учет объектов контроля осуществляется путем внесения сведений о таких объектах в информационную систему, созданную в соответствии с требованиями статьи 17 Федерального закона "О государственном контроле (надзоре) и муниципальном контроле в Российской Федерации", в течение 10 календарных дней со дня поступления таких сведений.</w:t>
      </w:r>
      <w:r>
        <w:rPr>
          <w:rFonts w:ascii="Arial" w:hAnsi="Arial" w:cs="Arial"/>
          <w:color w:val="444444"/>
        </w:rPr>
        <w:br/>
      </w:r>
    </w:p>
    <w:p w14:paraId="75BCF5D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D2F348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сборе, обработке, анализе и учете сведений об объектах контроля для целей их учета контрольный (надзорный) орган использует информацию, предоставляемую им в соответствии с нормативными правовыми актами, информацию, получаемую в рамках межведомственного взаимодействия, а также общедоступную информацию, в том числе сведения, содержащиеся в государственном реестре работ по геологическому изучению недр, государственном реестре участков недр, предоставленных в пользование, и лицензий на пользование недрами.</w:t>
      </w:r>
      <w:r>
        <w:rPr>
          <w:rFonts w:ascii="Arial" w:hAnsi="Arial" w:cs="Arial"/>
          <w:color w:val="444444"/>
        </w:rPr>
        <w:br/>
      </w:r>
    </w:p>
    <w:p w14:paraId="47001F8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AC54B5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Отнесение объектов контроля к определенной категории риска осуществляется решением руководителя (заместителя руководителя) контрольного (надзорного) органа на основании сопоставления их характеристик с критериями, указанными в пунктах </w:t>
      </w:r>
      <w:proofErr w:type="gramStart"/>
      <w:r>
        <w:rPr>
          <w:rFonts w:ascii="Arial" w:hAnsi="Arial" w:cs="Arial"/>
          <w:color w:val="444444"/>
        </w:rPr>
        <w:t>9 - 11</w:t>
      </w:r>
      <w:proofErr w:type="gramEnd"/>
      <w:r>
        <w:rPr>
          <w:rFonts w:ascii="Arial" w:hAnsi="Arial" w:cs="Arial"/>
          <w:color w:val="444444"/>
        </w:rPr>
        <w:t xml:space="preserve"> настоящего Положения.</w:t>
      </w:r>
      <w:r>
        <w:rPr>
          <w:rFonts w:ascii="Arial" w:hAnsi="Arial" w:cs="Arial"/>
          <w:color w:val="444444"/>
        </w:rPr>
        <w:br/>
      </w:r>
    </w:p>
    <w:p w14:paraId="2DE81A4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C44EF5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Контрольный (надзорный) орган ведет перечни объектов контроля, которым присвоены категории риска.</w:t>
      </w:r>
      <w:r>
        <w:rPr>
          <w:rFonts w:ascii="Arial" w:hAnsi="Arial" w:cs="Arial"/>
          <w:color w:val="444444"/>
        </w:rPr>
        <w:br/>
      </w:r>
    </w:p>
    <w:p w14:paraId="3B9E6C0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7A3A58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От имени контрольного (надзорного) органа государственный геологический контроль вправе осуществлять следующие должностные лица:</w:t>
      </w:r>
      <w:r>
        <w:rPr>
          <w:rFonts w:ascii="Arial" w:hAnsi="Arial" w:cs="Arial"/>
          <w:color w:val="444444"/>
        </w:rPr>
        <w:br/>
      </w:r>
    </w:p>
    <w:p w14:paraId="6C1138F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BC2C27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руководитель (заместитель руководителя) контрольного (надзорного) органа;</w:t>
      </w:r>
      <w:r>
        <w:rPr>
          <w:rFonts w:ascii="Arial" w:hAnsi="Arial" w:cs="Arial"/>
          <w:color w:val="444444"/>
        </w:rPr>
        <w:br/>
      </w:r>
    </w:p>
    <w:p w14:paraId="29ABBA6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C1BEE6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начальник отдела регионального государственного экологического надзора департамента контроля и надзора в сфере экологии и природопользования министерства природных ресурсов и экологии Тульской области;</w:t>
      </w:r>
      <w:r>
        <w:rPr>
          <w:rFonts w:ascii="Arial" w:hAnsi="Arial" w:cs="Arial"/>
          <w:color w:val="444444"/>
        </w:rPr>
        <w:br/>
      </w:r>
    </w:p>
    <w:p w14:paraId="169569C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D074C3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 государственные гражданские служащие Тульской области категории "специалисты" ведущей и старшей групп должностей отдела регионального государственного экологического надзора департамента контроля и надзора в сфере экологии и природопользования министерства природных ресурсов и экологии Тульской области, в должностные обязанности которых в соответствии должностным регламентом входит осуществление полномочий по </w:t>
      </w:r>
      <w:r>
        <w:rPr>
          <w:rFonts w:ascii="Arial" w:hAnsi="Arial" w:cs="Arial"/>
          <w:color w:val="444444"/>
        </w:rPr>
        <w:lastRenderedPageBreak/>
        <w:t>государственному геологическому контролю, в том числе проведение профилактических мероприятий и контрольных (надзорных) мероприятий.</w:t>
      </w:r>
      <w:r>
        <w:rPr>
          <w:rFonts w:ascii="Arial" w:hAnsi="Arial" w:cs="Arial"/>
          <w:color w:val="444444"/>
        </w:rPr>
        <w:br/>
      </w:r>
    </w:p>
    <w:p w14:paraId="1C037C7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CCA108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Контрольный (надзорный) орган может проводить следующие профилактические мероприятия:</w:t>
      </w:r>
      <w:r>
        <w:rPr>
          <w:rFonts w:ascii="Arial" w:hAnsi="Arial" w:cs="Arial"/>
          <w:color w:val="444444"/>
        </w:rPr>
        <w:br/>
      </w:r>
    </w:p>
    <w:p w14:paraId="7EE9198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F8648D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информирование;</w:t>
      </w:r>
      <w:r>
        <w:rPr>
          <w:rFonts w:ascii="Arial" w:hAnsi="Arial" w:cs="Arial"/>
          <w:color w:val="444444"/>
        </w:rPr>
        <w:br/>
      </w:r>
    </w:p>
    <w:p w14:paraId="6DA5E58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063626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обобщение правоприменительной практики;</w:t>
      </w:r>
      <w:r>
        <w:rPr>
          <w:rFonts w:ascii="Arial" w:hAnsi="Arial" w:cs="Arial"/>
          <w:color w:val="444444"/>
        </w:rPr>
        <w:br/>
      </w:r>
    </w:p>
    <w:p w14:paraId="4FC3EF8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AC7DDA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объявление предостережения;</w:t>
      </w:r>
      <w:r>
        <w:rPr>
          <w:rFonts w:ascii="Arial" w:hAnsi="Arial" w:cs="Arial"/>
          <w:color w:val="444444"/>
        </w:rPr>
        <w:br/>
      </w:r>
    </w:p>
    <w:p w14:paraId="508F864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D1ED1C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консультирование;</w:t>
      </w:r>
      <w:r>
        <w:rPr>
          <w:rFonts w:ascii="Arial" w:hAnsi="Arial" w:cs="Arial"/>
          <w:color w:val="444444"/>
        </w:rPr>
        <w:br/>
      </w:r>
    </w:p>
    <w:p w14:paraId="1263329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298762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профилактический визит.</w:t>
      </w:r>
      <w:r>
        <w:rPr>
          <w:rFonts w:ascii="Arial" w:hAnsi="Arial" w:cs="Arial"/>
          <w:color w:val="444444"/>
        </w:rPr>
        <w:br/>
      </w:r>
    </w:p>
    <w:p w14:paraId="2DFA02A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B44688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Должностные лица контрольного (надзорного) органа, уполномоченные на осуществление государственного геологического контроля, осуществляют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A6B0C2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7BE6A5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осуществляется посредством размещения соответствующих сведений на официальном сайте контрольного (надзорного) органа) в информационно-телекоммуникационной сети "Интернет" (далее - сеть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r>
        <w:rPr>
          <w:rFonts w:ascii="Arial" w:hAnsi="Arial" w:cs="Arial"/>
          <w:color w:val="444444"/>
        </w:rPr>
        <w:br/>
      </w:r>
    </w:p>
    <w:p w14:paraId="1F01951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AC09FB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Доклад, содержащий результаты обобщения правоприменительной практики контрольного (надзорного) органа, готовится не позднее 1 апреля года, следующего за отчетным годом, утверждается приказом (распоряжением) руководителя контрольного (надзорного) органа и размещается на официальном сайте такого органа в сети "Интернет" в срок до 1 апреля года, следующего за отчетным годом.</w:t>
      </w:r>
      <w:r>
        <w:rPr>
          <w:rFonts w:ascii="Arial" w:hAnsi="Arial" w:cs="Arial"/>
          <w:color w:val="444444"/>
        </w:rPr>
        <w:br/>
      </w:r>
    </w:p>
    <w:p w14:paraId="6ABD0B7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16D02E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w:t>
      </w:r>
      <w:r>
        <w:rPr>
          <w:rFonts w:ascii="Arial" w:hAnsi="Arial" w:cs="Arial"/>
          <w:color w:val="444444"/>
        </w:rPr>
        <w:lastRenderedPageBreak/>
        <w:t>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Pr>
          <w:rFonts w:ascii="Arial" w:hAnsi="Arial" w:cs="Arial"/>
          <w:color w:val="444444"/>
        </w:rPr>
        <w:br/>
      </w:r>
    </w:p>
    <w:p w14:paraId="7E16619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BAAC4E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Pr>
          <w:rFonts w:ascii="Arial" w:hAnsi="Arial" w:cs="Arial"/>
          <w:color w:val="444444"/>
        </w:rPr>
        <w:br/>
      </w:r>
    </w:p>
    <w:p w14:paraId="214FE2A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0B6DE43"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принятия контрольным (надзорным)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"Интернет", позволяющий пройти самообследование соблюдения обязательных требований.</w:t>
      </w:r>
      <w:r>
        <w:rPr>
          <w:rFonts w:ascii="Arial" w:hAnsi="Arial" w:cs="Arial"/>
          <w:color w:val="444444"/>
        </w:rPr>
        <w:br/>
      </w:r>
    </w:p>
    <w:p w14:paraId="52796FA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7BD462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Контролируемое лицо вправе после получения предостережения о недопустимости нарушения обязательных требований подать в контрольный (надзорный) орган возражение в отношении указанного предостережения в срок не позднее 30 календарных дней со дня получения им предостережения. Возражение в отношении предостережения рассматривается контрольным (надзорным) органом в течение 30 календарных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Pr>
          <w:rFonts w:ascii="Arial" w:hAnsi="Arial" w:cs="Arial"/>
          <w:color w:val="444444"/>
        </w:rPr>
        <w:br/>
      </w:r>
    </w:p>
    <w:p w14:paraId="533993B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2E3F6B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Учет предостережений осуществляется путем ведения журнала учета предостережений о недопустимости нарушения обязательных требований (на бумажном носителе либо в электронном виде) по форме, обеспечивающей учет указанной информации.</w:t>
      </w:r>
      <w:r>
        <w:rPr>
          <w:rFonts w:ascii="Arial" w:hAnsi="Arial" w:cs="Arial"/>
          <w:color w:val="444444"/>
        </w:rPr>
        <w:br/>
      </w:r>
    </w:p>
    <w:p w14:paraId="5E7CCFA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53624B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Консультирование осуществляется должностными лицами, уполномоченными на проведение консультирования, по телефону, посредством видео-конференц-связи, на личном приеме еженедельно, в сроки, определенные руководителем контрольного (надзорного) органа, либо в ходе проведения профилактического мероприятия, контрольного (надзорного) мероприятия. При проведении консультирования осуществляется аудио-, видеозапись.</w:t>
      </w:r>
      <w:r>
        <w:rPr>
          <w:rFonts w:ascii="Arial" w:hAnsi="Arial" w:cs="Arial"/>
          <w:color w:val="444444"/>
        </w:rPr>
        <w:br/>
      </w:r>
    </w:p>
    <w:p w14:paraId="392B301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8DF967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19.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Pr>
          <w:rFonts w:ascii="Arial" w:hAnsi="Arial" w:cs="Arial"/>
          <w:color w:val="444444"/>
        </w:rPr>
        <w:br/>
      </w:r>
    </w:p>
    <w:p w14:paraId="449C96C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651C6B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Консультирование, в том числе письменное, осуществляется по вопросам соблюдения обязательных требований в области использования и охраны недр, указанных в пункте 2 настоящего Положения.</w:t>
      </w:r>
      <w:r>
        <w:rPr>
          <w:rFonts w:ascii="Arial" w:hAnsi="Arial" w:cs="Arial"/>
          <w:color w:val="444444"/>
        </w:rPr>
        <w:br/>
      </w:r>
    </w:p>
    <w:p w14:paraId="4A41DDB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BE43B0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В случае поступления пяти и более однотипных обращений контролируемых лиц и их представителей консультирование осуществляется посредством размещения на официальном сайте контрольного (надзорного) органа в сети "Интернет" письменного разъяснения, подписанного уполномоченным должностным лицом контрольного (надзорного) органа.</w:t>
      </w:r>
      <w:r>
        <w:rPr>
          <w:rFonts w:ascii="Arial" w:hAnsi="Arial" w:cs="Arial"/>
          <w:color w:val="444444"/>
        </w:rPr>
        <w:br/>
      </w:r>
    </w:p>
    <w:p w14:paraId="5DBA660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2E9ABA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Профилактический визит проводится должностными лицами, уполномоченными на проведение профилактических мероприятий,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p>
    <w:p w14:paraId="696B28F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 В ходе профилактического визита должностными лицами, уполномоченными на проведение профилактических мероприятий, может осуществляться консультирование контролируемого лица в порядке, установленном пунктами </w:t>
      </w:r>
      <w:proofErr w:type="gramStart"/>
      <w:r>
        <w:rPr>
          <w:rFonts w:ascii="Arial" w:hAnsi="Arial" w:cs="Arial"/>
          <w:color w:val="444444"/>
        </w:rPr>
        <w:t>18 - 21</w:t>
      </w:r>
      <w:proofErr w:type="gramEnd"/>
      <w:r>
        <w:rPr>
          <w:rFonts w:ascii="Arial" w:hAnsi="Arial" w:cs="Arial"/>
          <w:color w:val="444444"/>
        </w:rPr>
        <w:t xml:space="preserve"> настоящего Положения.</w:t>
      </w:r>
      <w:r>
        <w:rPr>
          <w:rFonts w:ascii="Arial" w:hAnsi="Arial" w:cs="Arial"/>
          <w:color w:val="444444"/>
        </w:rPr>
        <w:br/>
      </w:r>
    </w:p>
    <w:p w14:paraId="4F0E886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B92E17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В ходе профилактического визита должностными лицами, уполномоченными на проведение профилактических мероприятий, может осуществляться сбор сведений, необходимых для отнесения объектов государственного геологического контроля к категориям риска.</w:t>
      </w:r>
      <w:r>
        <w:rPr>
          <w:rFonts w:ascii="Arial" w:hAnsi="Arial" w:cs="Arial"/>
          <w:color w:val="444444"/>
        </w:rPr>
        <w:br/>
      </w:r>
    </w:p>
    <w:p w14:paraId="4CE1094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02D70F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Проведение обязательных профилактических визитов должно быть предусмотрено в отношении контролируемых лиц, приступающих к осуществлению деятельности в области использования и охраны недр, а также в отношении объектов контроля, отнесенных к категориям значительного и среднего риска.</w:t>
      </w:r>
      <w:r>
        <w:rPr>
          <w:rFonts w:ascii="Arial" w:hAnsi="Arial" w:cs="Arial"/>
          <w:color w:val="444444"/>
        </w:rPr>
        <w:br/>
      </w:r>
    </w:p>
    <w:p w14:paraId="1A535F7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B831B4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26.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w:t>
      </w:r>
      <w:r>
        <w:rPr>
          <w:rFonts w:ascii="Arial" w:hAnsi="Arial" w:cs="Arial"/>
          <w:color w:val="444444"/>
        </w:rPr>
        <w:br/>
      </w:r>
    </w:p>
    <w:p w14:paraId="3FB91BC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B6A62C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27. Контролируемое лицо вправе отказаться от проведения обязательного профилактического визита, уведомив об этом контрольный (надзорный) орган не позднее, чем за три рабочих дня до даты его проведения.</w:t>
      </w:r>
      <w:r>
        <w:rPr>
          <w:rFonts w:ascii="Arial" w:hAnsi="Arial" w:cs="Arial"/>
          <w:color w:val="444444"/>
        </w:rPr>
        <w:br/>
      </w:r>
    </w:p>
    <w:p w14:paraId="7B5B3CF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63E81B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28. Обязательный профилактический визит проводится в течение 1 рабочего дня. По ходатайству должностного лица, проводящего профилактический визит, руководителя (заместитель руководителя) контрольного (надзорного) органа может продлить срок проведения профилактического визита на срок не более 3 рабочих дней.</w:t>
      </w:r>
      <w:r>
        <w:rPr>
          <w:rFonts w:ascii="Arial" w:hAnsi="Arial" w:cs="Arial"/>
          <w:color w:val="444444"/>
        </w:rPr>
        <w:br/>
      </w:r>
    </w:p>
    <w:p w14:paraId="5702DC9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3D54C9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29. В случае если при проведении профилактического визита (обязательного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уполномоченное на проведение профилактического визита, незамедлительно направляет информацию об этом руководителю контрольного (надзорного) органа, уполномоченному на принятие решений о проведении контрольных (надзорных) мероприятий, для принятия решения о проведении контрольных (надзорных) мероприятий.</w:t>
      </w:r>
      <w:r>
        <w:rPr>
          <w:rFonts w:ascii="Arial" w:hAnsi="Arial" w:cs="Arial"/>
          <w:color w:val="444444"/>
        </w:rPr>
        <w:br/>
      </w:r>
    </w:p>
    <w:p w14:paraId="48E9395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649A6A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В рамках осуществления государственного геологического контроля при взаимодействии с контролируемым лицом могут проводиться следующие виды контрольных (надзорных) мероприятий:</w:t>
      </w:r>
      <w:r>
        <w:rPr>
          <w:rFonts w:ascii="Arial" w:hAnsi="Arial" w:cs="Arial"/>
          <w:color w:val="444444"/>
        </w:rPr>
        <w:br/>
      </w:r>
    </w:p>
    <w:p w14:paraId="428C468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A79FF9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инспекционный визит;</w:t>
      </w:r>
      <w:r>
        <w:rPr>
          <w:rFonts w:ascii="Arial" w:hAnsi="Arial" w:cs="Arial"/>
          <w:color w:val="444444"/>
        </w:rPr>
        <w:br/>
      </w:r>
    </w:p>
    <w:p w14:paraId="554FCC5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15F79E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рейдовый осмотр;</w:t>
      </w:r>
      <w:r>
        <w:rPr>
          <w:rFonts w:ascii="Arial" w:hAnsi="Arial" w:cs="Arial"/>
          <w:color w:val="444444"/>
        </w:rPr>
        <w:br/>
      </w:r>
    </w:p>
    <w:p w14:paraId="76D376C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98028B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документарная проверка;</w:t>
      </w:r>
      <w:r>
        <w:rPr>
          <w:rFonts w:ascii="Arial" w:hAnsi="Arial" w:cs="Arial"/>
          <w:color w:val="444444"/>
        </w:rPr>
        <w:br/>
      </w:r>
    </w:p>
    <w:p w14:paraId="34A7343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D8B419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выездная проверка.</w:t>
      </w:r>
      <w:r>
        <w:rPr>
          <w:rFonts w:ascii="Arial" w:hAnsi="Arial" w:cs="Arial"/>
          <w:color w:val="444444"/>
        </w:rPr>
        <w:br/>
      </w:r>
    </w:p>
    <w:p w14:paraId="325FA08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99F66F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В рамках осуществления государственного геологического контроля без взаимодействия с контролируемым лицом могут проводиться следующие виды контрольных (надзорных) мероприятий:</w:t>
      </w:r>
      <w:r>
        <w:rPr>
          <w:rFonts w:ascii="Arial" w:hAnsi="Arial" w:cs="Arial"/>
          <w:color w:val="444444"/>
        </w:rPr>
        <w:br/>
      </w:r>
    </w:p>
    <w:p w14:paraId="133DE37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84C9FA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наблюдение за соблюдением обязательных требований;</w:t>
      </w:r>
      <w:r>
        <w:rPr>
          <w:rFonts w:ascii="Arial" w:hAnsi="Arial" w:cs="Arial"/>
          <w:color w:val="444444"/>
        </w:rPr>
        <w:br/>
      </w:r>
    </w:p>
    <w:p w14:paraId="3E96A05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3910F8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выездное обследование.</w:t>
      </w:r>
      <w:r>
        <w:rPr>
          <w:rFonts w:ascii="Arial" w:hAnsi="Arial" w:cs="Arial"/>
          <w:color w:val="444444"/>
        </w:rPr>
        <w:br/>
      </w:r>
    </w:p>
    <w:p w14:paraId="5F0E830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AC6094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 В составе инспекционного визита могут проводиться следующие контрольные (надзорные) действия:</w:t>
      </w:r>
      <w:r>
        <w:rPr>
          <w:rFonts w:ascii="Arial" w:hAnsi="Arial" w:cs="Arial"/>
          <w:color w:val="444444"/>
        </w:rPr>
        <w:br/>
      </w:r>
    </w:p>
    <w:p w14:paraId="2A5E98D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A199AB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1350291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544C7A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опрос;</w:t>
      </w:r>
      <w:r>
        <w:rPr>
          <w:rFonts w:ascii="Arial" w:hAnsi="Arial" w:cs="Arial"/>
          <w:color w:val="444444"/>
        </w:rPr>
        <w:br/>
      </w:r>
    </w:p>
    <w:p w14:paraId="3AAAF30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B3B473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получение письменных объяснений;</w:t>
      </w:r>
      <w:r>
        <w:rPr>
          <w:rFonts w:ascii="Arial" w:hAnsi="Arial" w:cs="Arial"/>
          <w:color w:val="444444"/>
        </w:rPr>
        <w:br/>
      </w:r>
    </w:p>
    <w:p w14:paraId="3C26D3E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89B379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инструментальное обследование;</w:t>
      </w:r>
      <w:r>
        <w:rPr>
          <w:rFonts w:ascii="Arial" w:hAnsi="Arial" w:cs="Arial"/>
          <w:color w:val="444444"/>
        </w:rPr>
        <w:br/>
      </w:r>
    </w:p>
    <w:p w14:paraId="35B0F91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151DC7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1C84E3D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1261BB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 Инспекционный визит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1E02A03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5CA0CB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1355B58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A228E2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Инспекционный визит проводится без предварительного уведомления контролируемого лица и собственника объекта контроля.</w:t>
      </w:r>
      <w:r>
        <w:rPr>
          <w:rFonts w:ascii="Arial" w:hAnsi="Arial" w:cs="Arial"/>
          <w:color w:val="444444"/>
        </w:rPr>
        <w:br/>
      </w:r>
    </w:p>
    <w:p w14:paraId="7AB372C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146767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Срок проведения инспекционного визита в одном месте осуществления деятельности либо на одном объекте государственного геологического контроля не может превышать один рабочий день.</w:t>
      </w:r>
      <w:r>
        <w:rPr>
          <w:rFonts w:ascii="Arial" w:hAnsi="Arial" w:cs="Arial"/>
          <w:color w:val="444444"/>
        </w:rPr>
        <w:br/>
      </w:r>
    </w:p>
    <w:p w14:paraId="173B5B9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B36929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Контролируемые лица или их представители обязаны обеспечить беспрепятственный доступ должностного лица, уполномоченного на проведение контрольного (надзорного) мероприятия, на объектах государственного геологического контроля.</w:t>
      </w:r>
      <w:r>
        <w:rPr>
          <w:rFonts w:ascii="Arial" w:hAnsi="Arial" w:cs="Arial"/>
          <w:color w:val="444444"/>
        </w:rPr>
        <w:br/>
      </w:r>
    </w:p>
    <w:p w14:paraId="57A19A2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DA4472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В составе рейдового осмотра могут проводиться следующие контрольные (надзорные) действия:</w:t>
      </w:r>
      <w:r>
        <w:rPr>
          <w:rFonts w:ascii="Arial" w:hAnsi="Arial" w:cs="Arial"/>
          <w:color w:val="444444"/>
        </w:rPr>
        <w:br/>
      </w:r>
    </w:p>
    <w:p w14:paraId="524978D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7AE487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241FE8E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737E68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досмотр;</w:t>
      </w:r>
      <w:r>
        <w:rPr>
          <w:rFonts w:ascii="Arial" w:hAnsi="Arial" w:cs="Arial"/>
          <w:color w:val="444444"/>
        </w:rPr>
        <w:br/>
      </w:r>
    </w:p>
    <w:p w14:paraId="36938A6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530941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опрос;</w:t>
      </w:r>
      <w:r>
        <w:rPr>
          <w:rFonts w:ascii="Arial" w:hAnsi="Arial" w:cs="Arial"/>
          <w:color w:val="444444"/>
        </w:rPr>
        <w:br/>
      </w:r>
    </w:p>
    <w:p w14:paraId="43AD081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01B87B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получение письменных объяснений;</w:t>
      </w:r>
      <w:r>
        <w:rPr>
          <w:rFonts w:ascii="Arial" w:hAnsi="Arial" w:cs="Arial"/>
          <w:color w:val="444444"/>
        </w:rPr>
        <w:br/>
      </w:r>
    </w:p>
    <w:p w14:paraId="1B321D8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CA441D3"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w:t>
      </w:r>
      <w:r>
        <w:rPr>
          <w:rFonts w:ascii="Arial" w:hAnsi="Arial" w:cs="Arial"/>
          <w:color w:val="444444"/>
        </w:rPr>
        <w:br/>
      </w:r>
    </w:p>
    <w:p w14:paraId="747E1DC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54A663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отбор проб (образцов);</w:t>
      </w:r>
      <w:r>
        <w:rPr>
          <w:rFonts w:ascii="Arial" w:hAnsi="Arial" w:cs="Arial"/>
          <w:color w:val="444444"/>
        </w:rPr>
        <w:br/>
      </w:r>
    </w:p>
    <w:p w14:paraId="32411C7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6EE913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инструментальное обследование;</w:t>
      </w:r>
      <w:r>
        <w:rPr>
          <w:rFonts w:ascii="Arial" w:hAnsi="Arial" w:cs="Arial"/>
          <w:color w:val="444444"/>
        </w:rPr>
        <w:br/>
      </w:r>
    </w:p>
    <w:p w14:paraId="0945F8D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C67643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испытание;</w:t>
      </w:r>
      <w:r>
        <w:rPr>
          <w:rFonts w:ascii="Arial" w:hAnsi="Arial" w:cs="Arial"/>
          <w:color w:val="444444"/>
        </w:rPr>
        <w:br/>
      </w:r>
    </w:p>
    <w:p w14:paraId="057C2FE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845906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экспертиза.</w:t>
      </w:r>
      <w:r>
        <w:rPr>
          <w:rFonts w:ascii="Arial" w:hAnsi="Arial" w:cs="Arial"/>
          <w:color w:val="444444"/>
        </w:rPr>
        <w:br/>
      </w:r>
    </w:p>
    <w:p w14:paraId="6FC2563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D72C47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 Рейдовый осмотр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06E8CBF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BE4E94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07D5B43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C6E712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r>
        <w:rPr>
          <w:rFonts w:ascii="Arial" w:hAnsi="Arial" w:cs="Arial"/>
          <w:color w:val="444444"/>
        </w:rPr>
        <w:br/>
      </w:r>
    </w:p>
    <w:p w14:paraId="23F7A53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E8AADE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В составе документарной проверки могут проводиться следующие контрольные (надзорные) действия:</w:t>
      </w:r>
      <w:r>
        <w:rPr>
          <w:rFonts w:ascii="Arial" w:hAnsi="Arial" w:cs="Arial"/>
          <w:color w:val="444444"/>
        </w:rPr>
        <w:br/>
      </w:r>
    </w:p>
    <w:p w14:paraId="593DB50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F57C0F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получение письменных объяснений;</w:t>
      </w:r>
      <w:r>
        <w:rPr>
          <w:rFonts w:ascii="Arial" w:hAnsi="Arial" w:cs="Arial"/>
          <w:color w:val="444444"/>
        </w:rPr>
        <w:br/>
      </w:r>
    </w:p>
    <w:p w14:paraId="5492864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435C3E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 истребование документов;</w:t>
      </w:r>
      <w:r>
        <w:rPr>
          <w:rFonts w:ascii="Arial" w:hAnsi="Arial" w:cs="Arial"/>
          <w:color w:val="444444"/>
        </w:rPr>
        <w:br/>
      </w:r>
    </w:p>
    <w:p w14:paraId="6DAA6A8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DC4F06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экспертиза.</w:t>
      </w:r>
      <w:r>
        <w:rPr>
          <w:rFonts w:ascii="Arial" w:hAnsi="Arial" w:cs="Arial"/>
          <w:color w:val="444444"/>
        </w:rPr>
        <w:br/>
      </w:r>
    </w:p>
    <w:p w14:paraId="47470D3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BD2A52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Внеплановая документарная проверка проводится без согласования с органами прокуратуры.</w:t>
      </w:r>
      <w:r>
        <w:rPr>
          <w:rFonts w:ascii="Arial" w:hAnsi="Arial" w:cs="Arial"/>
          <w:color w:val="444444"/>
        </w:rPr>
        <w:br/>
      </w:r>
    </w:p>
    <w:p w14:paraId="2B16055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6D8658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В составе выездной проверки могут проводиться следующие контрольные (надзорные) действия:</w:t>
      </w:r>
      <w:r>
        <w:rPr>
          <w:rFonts w:ascii="Arial" w:hAnsi="Arial" w:cs="Arial"/>
          <w:color w:val="444444"/>
        </w:rPr>
        <w:br/>
      </w:r>
    </w:p>
    <w:p w14:paraId="36BAB97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46AD00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00BB20F8"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5EC72B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досмотр;</w:t>
      </w:r>
      <w:r>
        <w:rPr>
          <w:rFonts w:ascii="Arial" w:hAnsi="Arial" w:cs="Arial"/>
          <w:color w:val="444444"/>
        </w:rPr>
        <w:br/>
      </w:r>
    </w:p>
    <w:p w14:paraId="7AF94E7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943FFD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опрос;</w:t>
      </w:r>
      <w:r>
        <w:rPr>
          <w:rFonts w:ascii="Arial" w:hAnsi="Arial" w:cs="Arial"/>
          <w:color w:val="444444"/>
        </w:rPr>
        <w:br/>
      </w:r>
    </w:p>
    <w:p w14:paraId="50BB8E3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64C828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получение письменных объяснений;</w:t>
      </w:r>
      <w:r>
        <w:rPr>
          <w:rFonts w:ascii="Arial" w:hAnsi="Arial" w:cs="Arial"/>
          <w:color w:val="444444"/>
        </w:rPr>
        <w:br/>
      </w:r>
    </w:p>
    <w:p w14:paraId="0038D3C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F22605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истребование документов;</w:t>
      </w:r>
      <w:r>
        <w:rPr>
          <w:rFonts w:ascii="Arial" w:hAnsi="Arial" w:cs="Arial"/>
          <w:color w:val="444444"/>
        </w:rPr>
        <w:br/>
      </w:r>
    </w:p>
    <w:p w14:paraId="04D7205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C012C1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отбор проб (образцов);</w:t>
      </w:r>
      <w:r>
        <w:rPr>
          <w:rFonts w:ascii="Arial" w:hAnsi="Arial" w:cs="Arial"/>
          <w:color w:val="444444"/>
        </w:rPr>
        <w:br/>
      </w:r>
    </w:p>
    <w:p w14:paraId="6405FAF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47A0343"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инструментальное обследование;</w:t>
      </w:r>
      <w:r>
        <w:rPr>
          <w:rFonts w:ascii="Arial" w:hAnsi="Arial" w:cs="Arial"/>
          <w:color w:val="444444"/>
        </w:rPr>
        <w:br/>
      </w:r>
    </w:p>
    <w:p w14:paraId="67DC154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128386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испытание;</w:t>
      </w:r>
      <w:r>
        <w:rPr>
          <w:rFonts w:ascii="Arial" w:hAnsi="Arial" w:cs="Arial"/>
          <w:color w:val="444444"/>
        </w:rPr>
        <w:br/>
      </w:r>
    </w:p>
    <w:p w14:paraId="7F07ABF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45C1A1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экспертиза.</w:t>
      </w:r>
      <w:r>
        <w:rPr>
          <w:rFonts w:ascii="Arial" w:hAnsi="Arial" w:cs="Arial"/>
          <w:color w:val="444444"/>
        </w:rPr>
        <w:br/>
      </w:r>
    </w:p>
    <w:p w14:paraId="3C60B13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47AE61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45. Выездная проверка проводится при наличии оснований, указанных в пунктах </w:t>
      </w:r>
      <w:proofErr w:type="gramStart"/>
      <w:r>
        <w:rPr>
          <w:rFonts w:ascii="Arial" w:hAnsi="Arial" w:cs="Arial"/>
          <w:color w:val="444444"/>
        </w:rPr>
        <w:t>1 - 6</w:t>
      </w:r>
      <w:proofErr w:type="gramEnd"/>
      <w:r>
        <w:rPr>
          <w:rFonts w:ascii="Arial" w:hAnsi="Arial" w:cs="Arial"/>
          <w:color w:val="444444"/>
        </w:rPr>
        <w:t xml:space="preserve"> части 1 статьи 57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59DAD8A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BB64AA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46.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статьей 21 Федерального закона "О государственном контроле (надзоре) и муниципальном контроле в Российской Федерации", если иное не предусмотрено </w:t>
      </w:r>
      <w:r>
        <w:rPr>
          <w:rFonts w:ascii="Arial" w:hAnsi="Arial" w:cs="Arial"/>
          <w:color w:val="444444"/>
        </w:rPr>
        <w:lastRenderedPageBreak/>
        <w:t>федеральным законом о виде контроля.</w:t>
      </w:r>
      <w:r>
        <w:rPr>
          <w:rFonts w:ascii="Arial" w:hAnsi="Arial" w:cs="Arial"/>
          <w:color w:val="444444"/>
        </w:rPr>
        <w:br/>
      </w:r>
    </w:p>
    <w:p w14:paraId="5B5A7CD3"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9737F2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40 часов.</w:t>
      </w:r>
      <w:r>
        <w:rPr>
          <w:rFonts w:ascii="Arial" w:hAnsi="Arial" w:cs="Arial"/>
          <w:color w:val="444444"/>
        </w:rPr>
        <w:br/>
      </w:r>
    </w:p>
    <w:p w14:paraId="1EE290A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4D33B9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В ходе выездного обследования на общедоступных (открытых для посещения неограниченным кругом лиц) объектах контроля могут осуществляться:</w:t>
      </w:r>
      <w:r>
        <w:rPr>
          <w:rFonts w:ascii="Arial" w:hAnsi="Arial" w:cs="Arial"/>
          <w:color w:val="444444"/>
        </w:rPr>
        <w:br/>
      </w:r>
    </w:p>
    <w:p w14:paraId="66A103A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A16707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осмотр;</w:t>
      </w:r>
      <w:r>
        <w:rPr>
          <w:rFonts w:ascii="Arial" w:hAnsi="Arial" w:cs="Arial"/>
          <w:color w:val="444444"/>
        </w:rPr>
        <w:br/>
      </w:r>
    </w:p>
    <w:p w14:paraId="59E4772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CBC777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отбор проб (образцов);</w:t>
      </w:r>
      <w:r>
        <w:rPr>
          <w:rFonts w:ascii="Arial" w:hAnsi="Arial" w:cs="Arial"/>
          <w:color w:val="444444"/>
        </w:rPr>
        <w:br/>
      </w:r>
    </w:p>
    <w:p w14:paraId="5540486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E26836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инструментальное обследование (с применением видеозаписи);</w:t>
      </w:r>
      <w:r>
        <w:rPr>
          <w:rFonts w:ascii="Arial" w:hAnsi="Arial" w:cs="Arial"/>
          <w:color w:val="444444"/>
        </w:rPr>
        <w:br/>
      </w:r>
    </w:p>
    <w:p w14:paraId="468B635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C6F4D3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испытание;</w:t>
      </w:r>
      <w:r>
        <w:rPr>
          <w:rFonts w:ascii="Arial" w:hAnsi="Arial" w:cs="Arial"/>
          <w:color w:val="444444"/>
        </w:rPr>
        <w:br/>
      </w:r>
    </w:p>
    <w:p w14:paraId="04F2D2F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293EB0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экспертиза.</w:t>
      </w:r>
      <w:r>
        <w:rPr>
          <w:rFonts w:ascii="Arial" w:hAnsi="Arial" w:cs="Arial"/>
          <w:color w:val="444444"/>
        </w:rPr>
        <w:br/>
      </w:r>
    </w:p>
    <w:p w14:paraId="2FAC463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F0E30F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Отбор проб (образцов) осуществляется непосредственно в ходе проведения контрольного (надзорного) мероприятия должностным лицом контрольного (надзорного) органа, его проводящим, или экспертом (специалистом), привлеченным к проведению контрольного (надзорного) мероприятия, в соответствии со стандартами, утвержденными уполномоченным федеральным органом исполнительной власти Российской Федерации, осуществляющим функции по выработке государственной политики и нормативно-правовому регулированию в сфере технического регулирования и метрологии.</w:t>
      </w:r>
      <w:r>
        <w:rPr>
          <w:rFonts w:ascii="Arial" w:hAnsi="Arial" w:cs="Arial"/>
          <w:color w:val="444444"/>
        </w:rPr>
        <w:br/>
      </w:r>
    </w:p>
    <w:p w14:paraId="5E7AAD5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3596CAE"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Отбор проб (образцов) включает в себя последовательность следующих действий:</w:t>
      </w:r>
      <w:r>
        <w:rPr>
          <w:rFonts w:ascii="Arial" w:hAnsi="Arial" w:cs="Arial"/>
          <w:color w:val="444444"/>
        </w:rPr>
        <w:br/>
      </w:r>
    </w:p>
    <w:p w14:paraId="38AB02E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39B8B3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определение (выбор) проб (образцов), подлежащих отбору, и точек отбора;</w:t>
      </w:r>
      <w:r>
        <w:rPr>
          <w:rFonts w:ascii="Arial" w:hAnsi="Arial" w:cs="Arial"/>
          <w:color w:val="444444"/>
        </w:rPr>
        <w:br/>
      </w:r>
    </w:p>
    <w:p w14:paraId="5138D6B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C92B9A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определение метода отбора пробы (образца), подготовка или обработка проб (образцов) вещества, материала или продукции с целью получения требуемой </w:t>
      </w:r>
      <w:r>
        <w:rPr>
          <w:rFonts w:ascii="Arial" w:hAnsi="Arial" w:cs="Arial"/>
          <w:color w:val="444444"/>
        </w:rPr>
        <w:lastRenderedPageBreak/>
        <w:t>пробы (образца);</w:t>
      </w:r>
      <w:r>
        <w:rPr>
          <w:rFonts w:ascii="Arial" w:hAnsi="Arial" w:cs="Arial"/>
          <w:color w:val="444444"/>
        </w:rPr>
        <w:br/>
      </w:r>
    </w:p>
    <w:p w14:paraId="73E8D67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6797AA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отбор пробы (образца) и ее упаковка.</w:t>
      </w:r>
    </w:p>
    <w:p w14:paraId="3D638BF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Отбор проб (образцов) осуществляется в количестве, необходимом и достаточном для проведения инструментального обследования, испытания, экспертизы.</w:t>
      </w:r>
      <w:r>
        <w:rPr>
          <w:rFonts w:ascii="Arial" w:hAnsi="Arial" w:cs="Arial"/>
          <w:color w:val="444444"/>
        </w:rPr>
        <w:br/>
      </w:r>
    </w:p>
    <w:p w14:paraId="2EFD9C7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269106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Pr>
          <w:rFonts w:ascii="Arial" w:hAnsi="Arial" w:cs="Arial"/>
          <w:color w:val="444444"/>
        </w:rPr>
        <w:br/>
      </w:r>
    </w:p>
    <w:p w14:paraId="23A6DA3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30F576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отбора проб (образцов) составляется протокол отбора проб (образцов), в котором указываются:</w:t>
      </w:r>
      <w:r>
        <w:rPr>
          <w:rFonts w:ascii="Arial" w:hAnsi="Arial" w:cs="Arial"/>
          <w:color w:val="444444"/>
        </w:rPr>
        <w:br/>
      </w:r>
    </w:p>
    <w:p w14:paraId="0E993DA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7DECF5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дата и место составления протокола;</w:t>
      </w:r>
      <w:r>
        <w:rPr>
          <w:rFonts w:ascii="Arial" w:hAnsi="Arial" w:cs="Arial"/>
          <w:color w:val="444444"/>
        </w:rPr>
        <w:br/>
      </w:r>
    </w:p>
    <w:p w14:paraId="29C5F64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A8502C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фамилия и инициалы инспектора, эксперта или специалиста, составивших протокол;</w:t>
      </w:r>
      <w:r>
        <w:rPr>
          <w:rFonts w:ascii="Arial" w:hAnsi="Arial" w:cs="Arial"/>
          <w:color w:val="444444"/>
        </w:rPr>
        <w:br/>
      </w:r>
    </w:p>
    <w:p w14:paraId="4BC8DDC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3F1897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контролируемом лице или его представителе, присутствовавших при отборе проб (образцов);</w:t>
      </w:r>
      <w:r>
        <w:rPr>
          <w:rFonts w:ascii="Arial" w:hAnsi="Arial" w:cs="Arial"/>
          <w:color w:val="444444"/>
        </w:rPr>
        <w:br/>
      </w:r>
    </w:p>
    <w:p w14:paraId="14346AF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9F81E3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использованные методики отбора проб (образцов);</w:t>
      </w:r>
      <w:r>
        <w:rPr>
          <w:rFonts w:ascii="Arial" w:hAnsi="Arial" w:cs="Arial"/>
          <w:color w:val="444444"/>
        </w:rPr>
        <w:br/>
      </w:r>
    </w:p>
    <w:p w14:paraId="7EACA67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07BAFD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иные сведения, имеющие значение для идентификации проб (образцов).</w:t>
      </w:r>
      <w:r>
        <w:rPr>
          <w:rFonts w:ascii="Arial" w:hAnsi="Arial" w:cs="Arial"/>
          <w:color w:val="444444"/>
        </w:rPr>
        <w:br/>
      </w:r>
    </w:p>
    <w:p w14:paraId="6415F8B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9F35900"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Протокол (акт)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Pr>
          <w:rFonts w:ascii="Arial" w:hAnsi="Arial" w:cs="Arial"/>
          <w:color w:val="444444"/>
        </w:rPr>
        <w:br/>
      </w:r>
    </w:p>
    <w:p w14:paraId="47AA2AA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632C70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Отбор проб (образцов) продукции (товаров) при проведении контрольных (надзорных) мероприятий в отсутствие контролируемого лица или его представителя проводится с обязательным использованием видеозаписи.</w:t>
      </w:r>
      <w:r>
        <w:rPr>
          <w:rFonts w:ascii="Arial" w:hAnsi="Arial" w:cs="Arial"/>
          <w:color w:val="444444"/>
        </w:rPr>
        <w:br/>
      </w:r>
    </w:p>
    <w:p w14:paraId="4509E4C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79B927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Проведение плановых контрольных (надзорных) мероприятий в отношении объектов контроля в зависимости от присвоенной категории риска осуществляется со следующей периодичностью:</w:t>
      </w:r>
      <w:r>
        <w:rPr>
          <w:rFonts w:ascii="Arial" w:hAnsi="Arial" w:cs="Arial"/>
          <w:color w:val="444444"/>
        </w:rPr>
        <w:br/>
      </w:r>
    </w:p>
    <w:p w14:paraId="164DF09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712934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 категории значительного риска - 1 из плановых контрольных (надзорных) мероприятий, указанных в пункте 30 настоящего Положения, 1 раз в 3 года;</w:t>
      </w:r>
      <w:r>
        <w:rPr>
          <w:rFonts w:ascii="Arial" w:hAnsi="Arial" w:cs="Arial"/>
          <w:color w:val="444444"/>
        </w:rPr>
        <w:br/>
      </w:r>
    </w:p>
    <w:p w14:paraId="2EA94298"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E6C8A5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категории среднего риска - 1 из плановых контрольных (надзорных) мероприятий, указанных в пункте 30 настоящего Положения, 1 раз в 4 года;</w:t>
      </w:r>
      <w:r>
        <w:rPr>
          <w:rFonts w:ascii="Arial" w:hAnsi="Arial" w:cs="Arial"/>
          <w:color w:val="444444"/>
        </w:rPr>
        <w:br/>
      </w:r>
    </w:p>
    <w:p w14:paraId="15045CF7"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36F210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категории умеренного риска - 1 из плановых контрольных (надзорных) мероприятий, указанных в пункте 30 настоящего Положения, 1 раз в 5 лет.</w:t>
      </w:r>
      <w:r>
        <w:rPr>
          <w:rFonts w:ascii="Arial" w:hAnsi="Arial" w:cs="Arial"/>
          <w:color w:val="444444"/>
        </w:rPr>
        <w:br/>
      </w:r>
    </w:p>
    <w:p w14:paraId="39531DAD"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4A653A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отношении объектов контроля, отнесенных к категории низкого риска, плановые контрольные (надзорные) мероприятия не проводятся.</w:t>
      </w:r>
      <w:r>
        <w:rPr>
          <w:rFonts w:ascii="Arial" w:hAnsi="Arial" w:cs="Arial"/>
          <w:color w:val="444444"/>
        </w:rPr>
        <w:br/>
      </w:r>
    </w:p>
    <w:p w14:paraId="3BE43DC1"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E21FA44"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При наличии оснований для проведения контрольных (надзорных) мероприятий, предусмотренных пунктами 1, 3 - 5 части 1 и частью 3 статьи 57 Федерального закона "О государственном контроле (надзоре) и муниципальном контроле в Российской Федерации", проводятся внеплановые контрольные (надзорные) мероприятия, предусмотренные пунктами 30 и 31 настоящего Положения, а также контрольные (надзорные) действия в их составе, предусмотренные пунктами 32, 38, 42, 44, 48 настоящего Положения.</w:t>
      </w:r>
      <w:r>
        <w:rPr>
          <w:rFonts w:ascii="Arial" w:hAnsi="Arial" w:cs="Arial"/>
          <w:color w:val="444444"/>
        </w:rPr>
        <w:br/>
      </w:r>
    </w:p>
    <w:p w14:paraId="388AE4C9"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377C3F1"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Индивидуальный предприниматель, гражданин,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случаях:</w:t>
      </w:r>
      <w:r>
        <w:rPr>
          <w:rFonts w:ascii="Arial" w:hAnsi="Arial" w:cs="Arial"/>
          <w:color w:val="444444"/>
        </w:rPr>
        <w:br/>
      </w:r>
    </w:p>
    <w:p w14:paraId="64A4D4F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28B989F"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введения режима повышенной готовности или чрезвычайной ситуации на всей территории Российской Федерации либо на ее части;</w:t>
      </w:r>
      <w:r>
        <w:rPr>
          <w:rFonts w:ascii="Arial" w:hAnsi="Arial" w:cs="Arial"/>
          <w:color w:val="444444"/>
        </w:rPr>
        <w:br/>
      </w:r>
    </w:p>
    <w:p w14:paraId="606AD3C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D4AF56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административного ареста;</w:t>
      </w:r>
      <w:r>
        <w:rPr>
          <w:rFonts w:ascii="Arial" w:hAnsi="Arial" w:cs="Arial"/>
          <w:color w:val="444444"/>
        </w:rPr>
        <w:br/>
      </w:r>
    </w:p>
    <w:p w14:paraId="3FB512C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09F776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Pr>
          <w:rFonts w:ascii="Arial" w:hAnsi="Arial" w:cs="Arial"/>
          <w:color w:val="444444"/>
        </w:rPr>
        <w:br/>
      </w:r>
    </w:p>
    <w:p w14:paraId="20B55D7A"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68CFD2BB"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В решении о проведении контрольного (надзорного) мероприятия указываются сведения, предусмотренные частью первой статьи 64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07D43FB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49D9CB5"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54. При проведении инспекционного визита, рейдового осмотра, выездной проверки, наблюдения за соблюдением обязательных требований, выездного </w:t>
      </w:r>
      <w:r>
        <w:rPr>
          <w:rFonts w:ascii="Arial" w:hAnsi="Arial" w:cs="Arial"/>
          <w:color w:val="444444"/>
        </w:rPr>
        <w:lastRenderedPageBreak/>
        <w:t>обследования для фиксации должностными лицами контрольного (надзорного) органа, уполномоченными на осуществление государственного геологического контроля, и лицами, привлекаемыми к совершению контрольных (надзорных) действий, доказательств нарушений обязательных требований используются фотосъемка и (или) аудио- и видеозапись. Информация о технических средствах, использованных при фотосъемке, аудио- и видеозаписи, указывается в акте контрольного (надзорного) мероприятия.</w:t>
      </w:r>
      <w:r>
        <w:rPr>
          <w:rFonts w:ascii="Arial" w:hAnsi="Arial" w:cs="Arial"/>
          <w:color w:val="444444"/>
        </w:rPr>
        <w:br/>
      </w:r>
    </w:p>
    <w:p w14:paraId="5D91B94C"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A7E880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w:t>
      </w:r>
      <w:r>
        <w:rPr>
          <w:rFonts w:ascii="Arial" w:hAnsi="Arial" w:cs="Arial"/>
          <w:color w:val="444444"/>
        </w:rPr>
        <w:br/>
      </w:r>
    </w:p>
    <w:p w14:paraId="23355235"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F9F70AD"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Аудио- и видеозапись осуществляется в ходе проведения контрольного (надзорного) мероприятия с уведомлением в начале и конце записи о дате, месте, времени начала и окончания осуществления записи.</w:t>
      </w:r>
      <w:r>
        <w:rPr>
          <w:rFonts w:ascii="Arial" w:hAnsi="Arial" w:cs="Arial"/>
          <w:color w:val="444444"/>
        </w:rPr>
        <w:br/>
      </w:r>
    </w:p>
    <w:p w14:paraId="32B28A3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66E4DDC"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ходе записи подробно фиксируются и указываются место и характер выявленного нарушения обязательных требований.</w:t>
      </w:r>
      <w:r>
        <w:rPr>
          <w:rFonts w:ascii="Arial" w:hAnsi="Arial" w:cs="Arial"/>
          <w:color w:val="444444"/>
        </w:rPr>
        <w:br/>
      </w:r>
    </w:p>
    <w:p w14:paraId="50ADA286"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040D1F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проведения фотосъемки, аудио- и видеозаписи являются приложением к акту контрольного (надзорного) мероприятия.</w:t>
      </w:r>
      <w:r>
        <w:rPr>
          <w:rFonts w:ascii="Arial" w:hAnsi="Arial" w:cs="Arial"/>
          <w:color w:val="444444"/>
        </w:rPr>
        <w:br/>
      </w:r>
    </w:p>
    <w:p w14:paraId="41C397B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79F4C8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Pr>
          <w:rFonts w:ascii="Arial" w:hAnsi="Arial" w:cs="Arial"/>
          <w:color w:val="444444"/>
        </w:rPr>
        <w:br/>
      </w:r>
    </w:p>
    <w:p w14:paraId="054787C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42F86C6"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Досмотр осуществляется должностным лицом, уполномоченным на проведение досмотра,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случае наличия у контрольного (надзорного) органа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Pr>
          <w:rFonts w:ascii="Arial" w:hAnsi="Arial" w:cs="Arial"/>
          <w:color w:val="444444"/>
        </w:rPr>
        <w:br/>
      </w:r>
    </w:p>
    <w:p w14:paraId="4E523258"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426240B2"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56. Взаимодействием должностных лиц контрольного (надзорного) органа, уполномоченных на осуществление государственного геологического контроля, с контролируемыми лицами при осуществлении государственного геологического контроля, являются встречи, телефонные и иные переговоры (непосредственное взаимодействие) между указанными должностными лицами и контролируемым лицом или его представителем, запрос документов, иных материалов, присутствие должностного лица надзорного органа в месте осуществления деятельности контролируемого лица (за исключением случая присутствия должностного лица контрольного (надзорного) органа, уполномоченного на осуществление государственного геологического контроля, на общедоступных </w:t>
      </w:r>
      <w:r>
        <w:rPr>
          <w:rFonts w:ascii="Arial" w:hAnsi="Arial" w:cs="Arial"/>
          <w:color w:val="444444"/>
        </w:rPr>
        <w:lastRenderedPageBreak/>
        <w:t>производственных объектах).</w:t>
      </w:r>
      <w:r>
        <w:rPr>
          <w:rFonts w:ascii="Arial" w:hAnsi="Arial" w:cs="Arial"/>
          <w:color w:val="444444"/>
        </w:rPr>
        <w:br/>
      </w:r>
    </w:p>
    <w:p w14:paraId="4E58C7A0"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3EEF3298"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Pr>
          <w:rFonts w:ascii="Arial" w:hAnsi="Arial" w:cs="Arial"/>
          <w:color w:val="444444"/>
        </w:rPr>
        <w:br/>
      </w:r>
    </w:p>
    <w:p w14:paraId="7974D984"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12C9972A"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Правом на досудебное обжалование решений контрольного (надзорного) органа,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5AB8E39F"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020141E7"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59. Жалоба на решение контрольного (надзорного) органа, действия (бездействие) его должностных лиц при осуществлении государственного геологического контроля рассматривается руководителем (заместителем руководителя) контрольного (надзорного) органа.</w:t>
      </w:r>
      <w:r>
        <w:rPr>
          <w:rFonts w:ascii="Arial" w:hAnsi="Arial" w:cs="Arial"/>
          <w:color w:val="444444"/>
        </w:rPr>
        <w:br/>
      </w:r>
    </w:p>
    <w:p w14:paraId="0549E70E"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7F31B70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60. Жалоба подается по форме в соответствии со статьей 41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3147D8E2"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2C583423"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61. Жалоба рассматривается контрольным (надзорным) органом в порядке, установленном статьей 43 Федерального закона "О государственном контроле (надзоре) и муниципальном контроле в Российской Федерации".</w:t>
      </w:r>
      <w:r>
        <w:rPr>
          <w:rFonts w:ascii="Arial" w:hAnsi="Arial" w:cs="Arial"/>
          <w:color w:val="444444"/>
        </w:rPr>
        <w:br/>
      </w:r>
    </w:p>
    <w:p w14:paraId="4ED4FAFB" w14:textId="77777777" w:rsidR="008117B3" w:rsidRDefault="008117B3" w:rsidP="008117B3">
      <w:pPr>
        <w:pStyle w:val="formattext"/>
        <w:spacing w:before="0" w:beforeAutospacing="0" w:after="0" w:afterAutospacing="0"/>
        <w:textAlignment w:val="baseline"/>
        <w:rPr>
          <w:rFonts w:ascii="Arial" w:hAnsi="Arial" w:cs="Arial"/>
          <w:color w:val="444444"/>
        </w:rPr>
      </w:pPr>
    </w:p>
    <w:p w14:paraId="5BAD47F9" w14:textId="77777777" w:rsidR="008117B3" w:rsidRDefault="008117B3" w:rsidP="008117B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62. Жалоба подлежит рассмотрению контрольным (надзорным) органом в течение двадцати рабочих дней со дня ее регистрации.</w:t>
      </w:r>
    </w:p>
    <w:p w14:paraId="21AEFEAA" w14:textId="77777777" w:rsidR="008117B3" w:rsidRDefault="008117B3" w:rsidP="008117B3"/>
    <w:p w14:paraId="2DAB6FD6" w14:textId="77777777" w:rsidR="006C427C"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117B3"/>
    <w:pPr>
      <w:spacing w:after="200" w:line="276" w:lineRule="auto"/>
    </w:pPr>
  </w:style>
  <w:style w:type="paragraph" w:styleId="2">
    <w:name w:val="heading 2"/>
    <w:basedOn w:val="a"/>
    <w:link w:val="20"/>
    <w:uiPriority w:val="9"/>
    <w:semiHidden/>
    <w:unhideWhenUsed/>
    <w:qFormat/>
    <w:rsid w:val="008117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117B3"/>
    <w:rPr>
      <w:rFonts w:ascii="Times New Roman" w:eastAsia="Times New Roman" w:hAnsi="Times New Roman" w:cs="Times New Roman"/>
      <w:b/>
      <w:bCs/>
      <w:sz w:val="36"/>
      <w:szCs w:val="36"/>
      <w:lang w:eastAsia="ru-RU"/>
    </w:rPr>
  </w:style>
  <w:style w:type="paragraph" w:customStyle="1" w:styleId="formattext">
    <w:name w:val="formattext"/>
    <w:basedOn w:val="a"/>
    <w:rsid w:val="008117B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8117B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