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2542E7" w14:textId="77777777" w:rsidR="002B329D" w:rsidRPr="002B329D" w:rsidRDefault="002B329D" w:rsidP="002B329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B329D">
        <w:rPr>
          <w:rFonts w:ascii="Arial" w:hAnsi="Arial" w:cs="Arial"/>
          <w:sz w:val="24"/>
          <w:szCs w:val="24"/>
        </w:rPr>
        <w:t>ЗАКОН</w:t>
      </w:r>
    </w:p>
    <w:p w14:paraId="148476EE" w14:textId="77777777" w:rsidR="002B329D" w:rsidRPr="002B329D" w:rsidRDefault="002B329D" w:rsidP="002B32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B329D">
        <w:rPr>
          <w:rFonts w:ascii="Arial" w:hAnsi="Arial" w:cs="Arial"/>
          <w:b/>
          <w:bCs/>
        </w:rPr>
        <w:t>ЧУКОТСКОГО АВТОНОМНОГО ОКРУГА</w:t>
      </w:r>
    </w:p>
    <w:p w14:paraId="38D3483A" w14:textId="77777777" w:rsidR="002B329D" w:rsidRPr="002B329D" w:rsidRDefault="002B329D" w:rsidP="002B32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B329D">
        <w:rPr>
          <w:rFonts w:ascii="Arial" w:hAnsi="Arial" w:cs="Arial"/>
          <w:b/>
          <w:bCs/>
        </w:rPr>
        <w:t>от 28 октября 2011 года N 107-ОЗ</w:t>
      </w:r>
    </w:p>
    <w:p w14:paraId="1C86A2A7" w14:textId="77777777" w:rsidR="002B329D" w:rsidRPr="002B329D" w:rsidRDefault="002B329D" w:rsidP="002B32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B329D">
        <w:rPr>
          <w:rFonts w:ascii="Arial" w:hAnsi="Arial" w:cs="Arial"/>
          <w:b/>
          <w:bCs/>
        </w:rPr>
        <w:t>О РЕГУЛИРОВАНИИ ОТДЕЛЬНЫХ ВОПРОСОВ В ОБЛАСТИ ОХОТЫ И СОХРАНЕНИЯ ОХОТНИЧЬИХ РЕСУРСОВ НА ТЕРРИТОРИИ ЧУКОТСКОГО АВТОНОМНОГО ОКРУГА</w:t>
      </w:r>
    </w:p>
    <w:p w14:paraId="741AA261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(в ред. Закона Чукотского автономного округа от 30.05.2014 N 54-ОЗ)</w:t>
      </w:r>
    </w:p>
    <w:p w14:paraId="3CD4488B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Принят</w:t>
      </w:r>
      <w:r w:rsidRPr="002B329D">
        <w:rPr>
          <w:rFonts w:ascii="Arial" w:hAnsi="Arial" w:cs="Arial"/>
        </w:rPr>
        <w:br/>
        <w:t>Думой Чукотского</w:t>
      </w:r>
      <w:r w:rsidRPr="002B329D">
        <w:rPr>
          <w:rFonts w:ascii="Arial" w:hAnsi="Arial" w:cs="Arial"/>
        </w:rPr>
        <w:br/>
        <w:t>автономного округа</w:t>
      </w:r>
      <w:r w:rsidRPr="002B329D">
        <w:rPr>
          <w:rFonts w:ascii="Arial" w:hAnsi="Arial" w:cs="Arial"/>
        </w:rPr>
        <w:br/>
        <w:t>21 октября 2011 года</w:t>
      </w:r>
    </w:p>
    <w:p w14:paraId="36EFC627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27918EDA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Настоящим Законом в рамках полномочий органов государственной власти субъектов Российской Федерации, установленных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регулируются отдельные вопросы в области охоты и сохранения охотничьих ресурсов в Чукотском автономном округе.</w:t>
      </w:r>
      <w:r w:rsidRPr="002B329D">
        <w:rPr>
          <w:rFonts w:ascii="Arial" w:hAnsi="Arial" w:cs="Arial"/>
        </w:rPr>
        <w:br/>
      </w:r>
    </w:p>
    <w:p w14:paraId="1621FC04" w14:textId="77777777" w:rsidR="002B329D" w:rsidRPr="002B329D" w:rsidRDefault="002B329D" w:rsidP="002B329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B329D">
        <w:rPr>
          <w:rFonts w:ascii="Arial" w:hAnsi="Arial" w:cs="Arial"/>
          <w:color w:val="auto"/>
          <w:sz w:val="24"/>
          <w:szCs w:val="24"/>
        </w:rPr>
        <w:t> Статья 1. Основные понятия, используемые для целей настоящего Закона</w:t>
      </w:r>
    </w:p>
    <w:p w14:paraId="30CDEF7C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7692D34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Для целей настоящего Закона используются понятия, установленные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(далее - Федеральный закон "Об охоте и о сохранении охотничьих ресурсов и о внесении изменений в отдельные законодательные акты Российской Федерации").</w:t>
      </w:r>
      <w:r w:rsidRPr="002B329D">
        <w:rPr>
          <w:rFonts w:ascii="Arial" w:hAnsi="Arial" w:cs="Arial"/>
        </w:rPr>
        <w:br/>
      </w:r>
    </w:p>
    <w:p w14:paraId="48F816D5" w14:textId="77777777" w:rsidR="002B329D" w:rsidRPr="002B329D" w:rsidRDefault="002B329D" w:rsidP="002B329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B329D">
        <w:rPr>
          <w:rFonts w:ascii="Arial" w:hAnsi="Arial" w:cs="Arial"/>
          <w:color w:val="auto"/>
          <w:sz w:val="24"/>
          <w:szCs w:val="24"/>
        </w:rPr>
        <w:t> Статья 2. Правовое регулирование в области охоты и сохранения охотничьих ресурсов в Чукотском автономном округе</w:t>
      </w:r>
    </w:p>
    <w:p w14:paraId="7090B547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A876511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Правовое регулирование в области охоты и сохранения охотничьих ресурсов осуществляется в Чукотском автономном округе Федеральным законом "Об охоте и о сохранении охотничьих ресурсов и о внесении изменений в отдельные законодательные акты Российской Федерации", другими федеральными законами, иными нормативными правовыми актами Российской Федерации, настоящим Законом и принимаемыми в соответствии с ними иными нормативными правовыми актами Чукотского автономного округа.</w:t>
      </w:r>
      <w:r w:rsidRPr="002B329D">
        <w:rPr>
          <w:rFonts w:ascii="Arial" w:hAnsi="Arial" w:cs="Arial"/>
        </w:rPr>
        <w:br/>
      </w:r>
    </w:p>
    <w:p w14:paraId="373D3C2E" w14:textId="77777777" w:rsidR="002B329D" w:rsidRPr="002B329D" w:rsidRDefault="002B329D" w:rsidP="002B329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B329D">
        <w:rPr>
          <w:rFonts w:ascii="Arial" w:hAnsi="Arial" w:cs="Arial"/>
          <w:color w:val="auto"/>
          <w:sz w:val="24"/>
          <w:szCs w:val="24"/>
        </w:rPr>
        <w:t> Статья 3. Полномочия Думы Чукотского автономного округа в области охоты и сохранения охотничьих ресурсов</w:t>
      </w:r>
    </w:p>
    <w:p w14:paraId="433A860E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7359CA8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К полномочиям Думы Чукотского автономного округа в области охоты и сохранения охотничьих ресурсов относятся:</w:t>
      </w:r>
      <w:r w:rsidRPr="002B329D">
        <w:rPr>
          <w:rFonts w:ascii="Arial" w:hAnsi="Arial" w:cs="Arial"/>
        </w:rPr>
        <w:br/>
      </w:r>
    </w:p>
    <w:p w14:paraId="1EC79D25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lastRenderedPageBreak/>
        <w:t>1) принятие законов Чукотского автономного округа, регулирующих правоотношения в области охоты и сохранения охотничьих ресурсов в пределах полномочий, установленных федеральным законодательством;</w:t>
      </w:r>
      <w:r w:rsidRPr="002B329D">
        <w:rPr>
          <w:rFonts w:ascii="Arial" w:hAnsi="Arial" w:cs="Arial"/>
        </w:rPr>
        <w:br/>
      </w:r>
    </w:p>
    <w:p w14:paraId="6AE44C30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2) контроль за соблюдением и исполнением законов Чукотского автономного округа, регулирующих правоотношения в области охоты и сохранения охотничьих ресурсов;</w:t>
      </w:r>
      <w:r w:rsidRPr="002B329D">
        <w:rPr>
          <w:rFonts w:ascii="Arial" w:hAnsi="Arial" w:cs="Arial"/>
        </w:rPr>
        <w:br/>
      </w:r>
    </w:p>
    <w:p w14:paraId="534BACAC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3) осуществление иных полномочий в области охоты и сохранения охотничьих ресурсов в соответствии с законодательством Российской Федерации.</w:t>
      </w:r>
      <w:r w:rsidRPr="002B329D">
        <w:rPr>
          <w:rFonts w:ascii="Arial" w:hAnsi="Arial" w:cs="Arial"/>
        </w:rPr>
        <w:br/>
      </w:r>
    </w:p>
    <w:p w14:paraId="192C173B" w14:textId="77777777" w:rsidR="002B329D" w:rsidRPr="002B329D" w:rsidRDefault="002B329D" w:rsidP="002B329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B329D">
        <w:rPr>
          <w:rFonts w:ascii="Arial" w:hAnsi="Arial" w:cs="Arial"/>
          <w:color w:val="auto"/>
          <w:sz w:val="24"/>
          <w:szCs w:val="24"/>
        </w:rPr>
        <w:t> Статья 4. Полномочия Правительства Чукотского автономного округа в области охоты и сохранения охотничьих ресурсов</w:t>
      </w:r>
    </w:p>
    <w:p w14:paraId="4B83F69E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098F07B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В соответствии с Федеральным законом "Об охоте и о сохранении охотничьих ресурсов и о внесении изменений в отдельные законодательные акты Российской Федерации" к полномочиям Правительства Чукотского автономного округа в области охоты и сохранения охотничьих ресурсов относятся:</w:t>
      </w:r>
      <w:r w:rsidRPr="002B329D">
        <w:rPr>
          <w:rFonts w:ascii="Arial" w:hAnsi="Arial" w:cs="Arial"/>
        </w:rPr>
        <w:br/>
      </w:r>
    </w:p>
    <w:p w14:paraId="264E536F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1) принятие нормативных правовых актов, регулирующих правоотношения в области охоты и сохранения охотничьих ресурсов в пределах полномочий, установленных федеральным законодательством и законодательством Чукотского автономного округа;</w:t>
      </w:r>
      <w:r w:rsidRPr="002B329D">
        <w:rPr>
          <w:rFonts w:ascii="Arial" w:hAnsi="Arial" w:cs="Arial"/>
        </w:rPr>
        <w:br/>
      </w:r>
    </w:p>
    <w:p w14:paraId="25E39E5F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2) введение на территории Чукотского автономного округа ограничений охоты по согласованию с уполномоченным федеральным органом исполнительной власти в сфере охоты и сохранения охотничьих ресурсов;</w:t>
      </w:r>
      <w:r w:rsidRPr="002B329D">
        <w:rPr>
          <w:rFonts w:ascii="Arial" w:hAnsi="Arial" w:cs="Arial"/>
        </w:rPr>
        <w:br/>
      </w:r>
    </w:p>
    <w:p w14:paraId="283F5C35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3) организация и осуществление сохранения и использования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  <w:r w:rsidRPr="002B329D">
        <w:rPr>
          <w:rFonts w:ascii="Arial" w:hAnsi="Arial" w:cs="Arial"/>
        </w:rPr>
        <w:br/>
      </w:r>
    </w:p>
    <w:p w14:paraId="21C131DA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4) 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  <w:r w:rsidRPr="002B329D">
        <w:rPr>
          <w:rFonts w:ascii="Arial" w:hAnsi="Arial" w:cs="Arial"/>
        </w:rPr>
        <w:br/>
      </w:r>
    </w:p>
    <w:p w14:paraId="0BA22E72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 xml:space="preserve">5) ведение государственного </w:t>
      </w:r>
      <w:proofErr w:type="spellStart"/>
      <w:r w:rsidRPr="002B329D">
        <w:rPr>
          <w:rFonts w:ascii="Arial" w:hAnsi="Arial" w:cs="Arial"/>
        </w:rPr>
        <w:t>охотхозяйственного</w:t>
      </w:r>
      <w:proofErr w:type="spellEnd"/>
      <w:r w:rsidRPr="002B329D">
        <w:rPr>
          <w:rFonts w:ascii="Arial" w:hAnsi="Arial" w:cs="Arial"/>
        </w:rPr>
        <w:t xml:space="preserve"> реестра и осуществление государственного мониторинга охотничьих ресурсов и среды их обитания на территории Чукотского автономного округа, за исключением охотничьих ресурсов, находящихся на особо охраняемых природных территориях федерального значения;</w:t>
      </w:r>
      <w:r w:rsidRPr="002B329D">
        <w:rPr>
          <w:rFonts w:ascii="Arial" w:hAnsi="Arial" w:cs="Arial"/>
        </w:rPr>
        <w:br/>
      </w:r>
    </w:p>
    <w:p w14:paraId="67DC925E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6) выдача разрешений на добычу охотничьих ресурсов в общедоступных охотничьих угодьях;</w:t>
      </w:r>
      <w:r w:rsidRPr="002B329D">
        <w:rPr>
          <w:rFonts w:ascii="Arial" w:hAnsi="Arial" w:cs="Arial"/>
        </w:rPr>
        <w:br/>
      </w:r>
    </w:p>
    <w:p w14:paraId="13E820E1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 xml:space="preserve">7) установление в порядке, предусмотренном Федеральным законом "Об охоте и о сохранении охотничьих ресурсов и о внесении изменений в отдельные законодательные акты Российской Федерации", лимитов добычи охотничьих ресурсов и квот их добычи, за исключением лимитов и квот в отношении охотничьих ресурсов, находящихся на особо охраняемых природных территориях </w:t>
      </w:r>
      <w:r w:rsidRPr="002B329D">
        <w:rPr>
          <w:rFonts w:ascii="Arial" w:hAnsi="Arial" w:cs="Arial"/>
        </w:rPr>
        <w:lastRenderedPageBreak/>
        <w:t>федерального значения;</w:t>
      </w:r>
      <w:r w:rsidRPr="002B329D">
        <w:rPr>
          <w:rFonts w:ascii="Arial" w:hAnsi="Arial" w:cs="Arial"/>
        </w:rPr>
        <w:br/>
      </w:r>
    </w:p>
    <w:p w14:paraId="4B420D76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8) разработка и утверждение норм допустимой добычи охотничьих ресурсов, в отношении которых не устанавливается лимит добычи, и норм пропускной способности охотничьих угодий;</w:t>
      </w:r>
      <w:r w:rsidRPr="002B329D">
        <w:rPr>
          <w:rFonts w:ascii="Arial" w:hAnsi="Arial" w:cs="Arial"/>
        </w:rPr>
        <w:br/>
      </w:r>
    </w:p>
    <w:p w14:paraId="400B4AC6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9) выдача и аннулирование охотничьих билетов в порядке, установленном уполномоченным федеральным органом исполнительной власти;</w:t>
      </w:r>
      <w:r w:rsidRPr="002B329D">
        <w:rPr>
          <w:rFonts w:ascii="Arial" w:hAnsi="Arial" w:cs="Arial"/>
        </w:rPr>
        <w:br/>
      </w:r>
    </w:p>
    <w:p w14:paraId="0C405EC8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10) установление перечня охотничьих ресурсов, в отношении которых допускается осуществление промысловой охоты;</w:t>
      </w:r>
      <w:r w:rsidRPr="002B329D">
        <w:rPr>
          <w:rFonts w:ascii="Arial" w:hAnsi="Arial" w:cs="Arial"/>
        </w:rPr>
        <w:br/>
      </w:r>
    </w:p>
    <w:p w14:paraId="1C80D1C3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 xml:space="preserve">11) заключение </w:t>
      </w:r>
      <w:proofErr w:type="spellStart"/>
      <w:r w:rsidRPr="002B329D">
        <w:rPr>
          <w:rFonts w:ascii="Arial" w:hAnsi="Arial" w:cs="Arial"/>
        </w:rPr>
        <w:t>охотхозяйственных</w:t>
      </w:r>
      <w:proofErr w:type="spellEnd"/>
      <w:r w:rsidRPr="002B329D">
        <w:rPr>
          <w:rFonts w:ascii="Arial" w:hAnsi="Arial" w:cs="Arial"/>
        </w:rPr>
        <w:t xml:space="preserve"> соглашений (в том числе организация и проведение аукционов на право заключения таких соглашений,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Федерации);</w:t>
      </w:r>
      <w:r w:rsidRPr="002B329D">
        <w:rPr>
          <w:rFonts w:ascii="Arial" w:hAnsi="Arial" w:cs="Arial"/>
        </w:rPr>
        <w:br/>
      </w:r>
    </w:p>
    <w:p w14:paraId="14FBD4AC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 xml:space="preserve">12) выдача разрешений на содержание и разведение охотничьих ресурсов в </w:t>
      </w:r>
      <w:proofErr w:type="spellStart"/>
      <w:r w:rsidRPr="002B329D">
        <w:rPr>
          <w:rFonts w:ascii="Arial" w:hAnsi="Arial" w:cs="Arial"/>
        </w:rPr>
        <w:t>полувольных</w:t>
      </w:r>
      <w:proofErr w:type="spellEnd"/>
      <w:r w:rsidRPr="002B329D">
        <w:rPr>
          <w:rFonts w:ascii="Arial" w:hAnsi="Arial" w:cs="Arial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2B329D">
        <w:rPr>
          <w:rFonts w:ascii="Arial" w:hAnsi="Arial" w:cs="Arial"/>
        </w:rPr>
        <w:t>полувольных</w:t>
      </w:r>
      <w:proofErr w:type="spellEnd"/>
      <w:r w:rsidRPr="002B329D">
        <w:rPr>
          <w:rFonts w:ascii="Arial" w:hAnsi="Arial" w:cs="Arial"/>
        </w:rPr>
        <w:t xml:space="preserve"> условиях и искусственно созданной среде обитания;</w:t>
      </w:r>
      <w:r w:rsidRPr="002B329D">
        <w:rPr>
          <w:rFonts w:ascii="Arial" w:hAnsi="Arial" w:cs="Arial"/>
        </w:rPr>
        <w:br/>
      </w:r>
    </w:p>
    <w:p w14:paraId="1C1A921E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13) осуществление контроля за использованием капканов и других устройств, используемых при осуществлении охоты;</w:t>
      </w:r>
      <w:r w:rsidRPr="002B329D">
        <w:rPr>
          <w:rFonts w:ascii="Arial" w:hAnsi="Arial" w:cs="Arial"/>
        </w:rPr>
        <w:br/>
      </w:r>
    </w:p>
    <w:p w14:paraId="42645540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14) осуществление контроля за оборотом продукции охоты;</w:t>
      </w:r>
      <w:r w:rsidRPr="002B329D">
        <w:rPr>
          <w:rFonts w:ascii="Arial" w:hAnsi="Arial" w:cs="Arial"/>
        </w:rPr>
        <w:br/>
      </w:r>
    </w:p>
    <w:p w14:paraId="1E27559D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15) осуществление федерального государственного охотничьего надзора на территории Чукотского автономного округа, за исключением особо охраняемых природных территорий федерального значения;</w:t>
      </w:r>
      <w:r w:rsidRPr="002B329D">
        <w:rPr>
          <w:rFonts w:ascii="Arial" w:hAnsi="Arial" w:cs="Arial"/>
        </w:rPr>
        <w:br/>
      </w:r>
    </w:p>
    <w:p w14:paraId="660C27F2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16) составление схемы размещения, использования и охраны охотничьих угодий на территории Чукотского автономного округа;</w:t>
      </w:r>
      <w:r w:rsidRPr="002B329D">
        <w:rPr>
          <w:rFonts w:ascii="Arial" w:hAnsi="Arial" w:cs="Arial"/>
        </w:rPr>
        <w:br/>
      </w:r>
    </w:p>
    <w:p w14:paraId="7B656CCA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16.1) обеспечение изготовления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  <w:r w:rsidRPr="002B329D">
        <w:rPr>
          <w:rFonts w:ascii="Arial" w:hAnsi="Arial" w:cs="Arial"/>
        </w:rPr>
        <w:br/>
      </w:r>
    </w:p>
    <w:p w14:paraId="7D0B8793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(п. 16.1 введен Законом Чукотского автономного округа от 30.05.2014 N 54-ОЗ)</w:t>
      </w:r>
      <w:r w:rsidRPr="002B329D">
        <w:rPr>
          <w:rFonts w:ascii="Arial" w:hAnsi="Arial" w:cs="Arial"/>
        </w:rPr>
        <w:br/>
      </w:r>
    </w:p>
    <w:p w14:paraId="3E5D1EE5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16.2) выдача и замена удостоверений и нагрудных знаков производственных охотничьих инспекторов, аннулирование таких удостоверений в порядке, установленном уполномоченным федеральным органом исполнительной власти;</w:t>
      </w:r>
      <w:r w:rsidRPr="002B329D">
        <w:rPr>
          <w:rFonts w:ascii="Arial" w:hAnsi="Arial" w:cs="Arial"/>
        </w:rPr>
        <w:br/>
      </w:r>
    </w:p>
    <w:p w14:paraId="157700D9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(п. 16.2 введен Законом Чукотского автономного округа от 30.05.2014 N 54-ОЗ)</w:t>
      </w:r>
      <w:r w:rsidRPr="002B329D">
        <w:rPr>
          <w:rFonts w:ascii="Arial" w:hAnsi="Arial" w:cs="Arial"/>
        </w:rPr>
        <w:br/>
      </w:r>
    </w:p>
    <w:p w14:paraId="11684D84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 xml:space="preserve">16.3) проведение проверки знания требований к кандидату в производственные охотничьи инспектора в порядке, установленном </w:t>
      </w:r>
      <w:r w:rsidRPr="002B329D">
        <w:rPr>
          <w:rFonts w:ascii="Arial" w:hAnsi="Arial" w:cs="Arial"/>
        </w:rPr>
        <w:lastRenderedPageBreak/>
        <w:t>уполномоченным федеральным органом исполнительной власти;</w:t>
      </w:r>
      <w:r w:rsidRPr="002B329D">
        <w:rPr>
          <w:rFonts w:ascii="Arial" w:hAnsi="Arial" w:cs="Arial"/>
        </w:rPr>
        <w:br/>
      </w:r>
    </w:p>
    <w:p w14:paraId="69727BC5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(п. 16.3 введен Законом Чукотского автономного округа от 30.05.2014 N 54-ОЗ)</w:t>
      </w:r>
      <w:r w:rsidRPr="002B329D">
        <w:rPr>
          <w:rFonts w:ascii="Arial" w:hAnsi="Arial" w:cs="Arial"/>
        </w:rPr>
        <w:br/>
      </w:r>
    </w:p>
    <w:p w14:paraId="680324F5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16.4) отстранение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власти;</w:t>
      </w:r>
      <w:r w:rsidRPr="002B329D">
        <w:rPr>
          <w:rFonts w:ascii="Arial" w:hAnsi="Arial" w:cs="Arial"/>
        </w:rPr>
        <w:br/>
      </w:r>
    </w:p>
    <w:p w14:paraId="5BADB686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(п. 16.4 введен Законом Чукотского автономного округа от 30.05.2014 N 54-ОЗ)</w:t>
      </w:r>
      <w:r w:rsidRPr="002B329D">
        <w:rPr>
          <w:rFonts w:ascii="Arial" w:hAnsi="Arial" w:cs="Arial"/>
        </w:rPr>
        <w:br/>
      </w:r>
    </w:p>
    <w:p w14:paraId="3240259F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17) осуществление иных полномочий в области охоты и сохранения охотничьих ресурсов в соответствии с федеральным законодательством и законодательством Чукотского автономного округа.</w:t>
      </w:r>
      <w:r w:rsidRPr="002B329D">
        <w:rPr>
          <w:rFonts w:ascii="Arial" w:hAnsi="Arial" w:cs="Arial"/>
        </w:rPr>
        <w:br/>
      </w:r>
    </w:p>
    <w:p w14:paraId="61F010AA" w14:textId="77777777" w:rsidR="002B329D" w:rsidRPr="002B329D" w:rsidRDefault="002B329D" w:rsidP="002B329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B329D">
        <w:rPr>
          <w:rFonts w:ascii="Arial" w:hAnsi="Arial" w:cs="Arial"/>
          <w:color w:val="auto"/>
          <w:sz w:val="24"/>
          <w:szCs w:val="24"/>
        </w:rPr>
        <w:t> Статья 5. Охотничьи ресурсы</w:t>
      </w:r>
    </w:p>
    <w:p w14:paraId="51BC23AC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9B15620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К охотничьим ресурсам на территории Чукотского автономного округа наряду с млекопитающими и птицами, отнесенными к охотничьим ресурсам Федеральным законом "Об охоте и о сохранении охотничьих ресурсов и о внесении изменений в отдельные законодательные акты Российской Федерации", относятся:</w:t>
      </w:r>
      <w:r w:rsidRPr="002B329D">
        <w:rPr>
          <w:rFonts w:ascii="Arial" w:hAnsi="Arial" w:cs="Arial"/>
        </w:rPr>
        <w:br/>
      </w:r>
    </w:p>
    <w:p w14:paraId="6341DEE4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млекопитающие - корякский снежный баран (</w:t>
      </w:r>
      <w:proofErr w:type="spellStart"/>
      <w:r w:rsidRPr="002B329D">
        <w:rPr>
          <w:rFonts w:ascii="Arial" w:hAnsi="Arial" w:cs="Arial"/>
        </w:rPr>
        <w:t>Ovis</w:t>
      </w:r>
      <w:proofErr w:type="spellEnd"/>
      <w:r w:rsidRPr="002B329D">
        <w:rPr>
          <w:rFonts w:ascii="Arial" w:hAnsi="Arial" w:cs="Arial"/>
        </w:rPr>
        <w:t xml:space="preserve"> </w:t>
      </w:r>
      <w:proofErr w:type="spellStart"/>
      <w:r w:rsidRPr="002B329D">
        <w:rPr>
          <w:rFonts w:ascii="Arial" w:hAnsi="Arial" w:cs="Arial"/>
        </w:rPr>
        <w:t>nivicola</w:t>
      </w:r>
      <w:proofErr w:type="spellEnd"/>
      <w:r w:rsidRPr="002B329D">
        <w:rPr>
          <w:rFonts w:ascii="Arial" w:hAnsi="Arial" w:cs="Arial"/>
        </w:rPr>
        <w:t xml:space="preserve"> </w:t>
      </w:r>
      <w:proofErr w:type="spellStart"/>
      <w:r w:rsidRPr="002B329D">
        <w:rPr>
          <w:rFonts w:ascii="Arial" w:hAnsi="Arial" w:cs="Arial"/>
        </w:rPr>
        <w:t>koriakorum</w:t>
      </w:r>
      <w:proofErr w:type="spellEnd"/>
      <w:r w:rsidRPr="002B329D">
        <w:rPr>
          <w:rFonts w:ascii="Arial" w:hAnsi="Arial" w:cs="Arial"/>
        </w:rPr>
        <w:t>);</w:t>
      </w:r>
      <w:r w:rsidRPr="002B329D">
        <w:rPr>
          <w:rFonts w:ascii="Arial" w:hAnsi="Arial" w:cs="Arial"/>
        </w:rPr>
        <w:br/>
      </w:r>
    </w:p>
    <w:p w14:paraId="7110C5CA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птицы - канадский журавль (</w:t>
      </w:r>
      <w:proofErr w:type="spellStart"/>
      <w:r w:rsidRPr="002B329D">
        <w:rPr>
          <w:rFonts w:ascii="Arial" w:hAnsi="Arial" w:cs="Arial"/>
        </w:rPr>
        <w:t>Grus</w:t>
      </w:r>
      <w:proofErr w:type="spellEnd"/>
      <w:r w:rsidRPr="002B329D">
        <w:rPr>
          <w:rFonts w:ascii="Arial" w:hAnsi="Arial" w:cs="Arial"/>
        </w:rPr>
        <w:t xml:space="preserve"> </w:t>
      </w:r>
      <w:proofErr w:type="spellStart"/>
      <w:r w:rsidRPr="002B329D">
        <w:rPr>
          <w:rFonts w:ascii="Arial" w:hAnsi="Arial" w:cs="Arial"/>
        </w:rPr>
        <w:t>canadensis</w:t>
      </w:r>
      <w:proofErr w:type="spellEnd"/>
      <w:r w:rsidRPr="002B329D">
        <w:rPr>
          <w:rFonts w:ascii="Arial" w:hAnsi="Arial" w:cs="Arial"/>
        </w:rPr>
        <w:t>).</w:t>
      </w:r>
      <w:r w:rsidRPr="002B329D">
        <w:rPr>
          <w:rFonts w:ascii="Arial" w:hAnsi="Arial" w:cs="Arial"/>
        </w:rPr>
        <w:br/>
      </w:r>
    </w:p>
    <w:p w14:paraId="2B80C4FB" w14:textId="77777777" w:rsidR="002B329D" w:rsidRPr="002B329D" w:rsidRDefault="002B329D" w:rsidP="002B329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B329D">
        <w:rPr>
          <w:rFonts w:ascii="Arial" w:hAnsi="Arial" w:cs="Arial"/>
          <w:color w:val="auto"/>
          <w:sz w:val="24"/>
          <w:szCs w:val="24"/>
        </w:rPr>
        <w:t> Статья 6. Охотничьи ресурсы, в отношении которых осуществляется промысловая охота на территории Чукотского автономного округа</w:t>
      </w:r>
    </w:p>
    <w:p w14:paraId="0611888F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9B09257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К охотничьим ресурсам, в отношении которых осуществляется промысловая охота на территории Чукотского автономного округа, относятся:</w:t>
      </w:r>
      <w:r w:rsidRPr="002B329D">
        <w:rPr>
          <w:rFonts w:ascii="Arial" w:hAnsi="Arial" w:cs="Arial"/>
        </w:rPr>
        <w:br/>
      </w:r>
    </w:p>
    <w:p w14:paraId="35EAFCE1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1) млекопитающие:</w:t>
      </w:r>
      <w:r w:rsidRPr="002B329D">
        <w:rPr>
          <w:rFonts w:ascii="Arial" w:hAnsi="Arial" w:cs="Arial"/>
        </w:rPr>
        <w:br/>
      </w:r>
    </w:p>
    <w:p w14:paraId="12F42573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а) копытные животные - дикий северный олень;</w:t>
      </w:r>
      <w:r w:rsidRPr="002B329D">
        <w:rPr>
          <w:rFonts w:ascii="Arial" w:hAnsi="Arial" w:cs="Arial"/>
        </w:rPr>
        <w:br/>
      </w:r>
    </w:p>
    <w:p w14:paraId="3B4D5ADC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б) бурый медведь;</w:t>
      </w:r>
      <w:r w:rsidRPr="002B329D">
        <w:rPr>
          <w:rFonts w:ascii="Arial" w:hAnsi="Arial" w:cs="Arial"/>
        </w:rPr>
        <w:br/>
      </w:r>
    </w:p>
    <w:p w14:paraId="21A37899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в) пушные животные - заяц-беляк, лисица, песец, белка обыкновенная, горностай, ласка, норка американская, соболь, ондатра, суслик длиннохвостый;</w:t>
      </w:r>
      <w:r w:rsidRPr="002B329D">
        <w:rPr>
          <w:rFonts w:ascii="Arial" w:hAnsi="Arial" w:cs="Arial"/>
        </w:rPr>
        <w:br/>
      </w:r>
    </w:p>
    <w:p w14:paraId="175654C9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 xml:space="preserve">2) птицы - белая куропатка, </w:t>
      </w:r>
      <w:proofErr w:type="spellStart"/>
      <w:r w:rsidRPr="002B329D">
        <w:rPr>
          <w:rFonts w:ascii="Arial" w:hAnsi="Arial" w:cs="Arial"/>
        </w:rPr>
        <w:t>тундряная</w:t>
      </w:r>
      <w:proofErr w:type="spellEnd"/>
      <w:r w:rsidRPr="002B329D">
        <w:rPr>
          <w:rFonts w:ascii="Arial" w:hAnsi="Arial" w:cs="Arial"/>
        </w:rPr>
        <w:t xml:space="preserve"> куропатка.</w:t>
      </w:r>
      <w:r w:rsidRPr="002B329D">
        <w:rPr>
          <w:rFonts w:ascii="Arial" w:hAnsi="Arial" w:cs="Arial"/>
        </w:rPr>
        <w:br/>
      </w:r>
    </w:p>
    <w:p w14:paraId="65FF5645" w14:textId="77777777" w:rsidR="002B329D" w:rsidRPr="002B329D" w:rsidRDefault="002B329D" w:rsidP="002B329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B329D">
        <w:rPr>
          <w:rFonts w:ascii="Arial" w:hAnsi="Arial" w:cs="Arial"/>
          <w:color w:val="auto"/>
          <w:sz w:val="24"/>
          <w:szCs w:val="24"/>
        </w:rPr>
        <w:t> Статья 7. Порядок распределения разрешений на добычу охотничьих ресурсов между физическими лицами, осуществляющими охоту в общедоступных охотничьих угодьях</w:t>
      </w:r>
    </w:p>
    <w:p w14:paraId="0F9D7833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718FBEB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 xml:space="preserve">1. Количество разрешений на добычу лимитируемых охотничьих ресурсов устанавливается специально уполномоченным исполнительным органом </w:t>
      </w:r>
      <w:r w:rsidRPr="002B329D">
        <w:rPr>
          <w:rFonts w:ascii="Arial" w:hAnsi="Arial" w:cs="Arial"/>
        </w:rPr>
        <w:lastRenderedPageBreak/>
        <w:t>государственной власти Чукотского автономного округа в области охоты и сохранения охотничьих ресурсов (далее - уполномоченный орган) в соответствии с утверждаемыми Губернатором Чукотского автономного округа лимитами и квотами добычи охотничьих ресурсов в Чукотском автономном округе на определенный период.</w:t>
      </w:r>
      <w:r w:rsidRPr="002B329D">
        <w:rPr>
          <w:rFonts w:ascii="Arial" w:hAnsi="Arial" w:cs="Arial"/>
        </w:rPr>
        <w:br/>
      </w:r>
    </w:p>
    <w:p w14:paraId="0485337A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 xml:space="preserve">2. Количество разрешений на добычу </w:t>
      </w:r>
      <w:proofErr w:type="spellStart"/>
      <w:r w:rsidRPr="002B329D">
        <w:rPr>
          <w:rFonts w:ascii="Arial" w:hAnsi="Arial" w:cs="Arial"/>
        </w:rPr>
        <w:t>нелимитируемых</w:t>
      </w:r>
      <w:proofErr w:type="spellEnd"/>
      <w:r w:rsidRPr="002B329D">
        <w:rPr>
          <w:rFonts w:ascii="Arial" w:hAnsi="Arial" w:cs="Arial"/>
        </w:rPr>
        <w:t xml:space="preserve"> охотничьих ресурсов определяется уполномоченным органом исходя из норм допустимой добычи охотничьих ресурсов, в отношении которых не устанавливается лимит добычи, норм пропускной способности охотничьих угодий и нормативов допустимого изъятия охотничьих ресурсов.</w:t>
      </w:r>
      <w:r w:rsidRPr="002B329D">
        <w:rPr>
          <w:rFonts w:ascii="Arial" w:hAnsi="Arial" w:cs="Arial"/>
        </w:rPr>
        <w:br/>
      </w:r>
    </w:p>
    <w:p w14:paraId="05147F47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3. Разрешения на добычу охотничьих ресурсов в общедоступных охотничьих угодьях (далее - разрешения) распределяются между охотниками в соответствии с Федеральным законом "Об охоте и о сохранении охотничьих ресурсов и о внесении изменений в отдельные законодательные акты Российской Федерации" на основании их заявлений посредством случайной выборки (жеребьевки).</w:t>
      </w:r>
      <w:r w:rsidRPr="002B329D">
        <w:rPr>
          <w:rFonts w:ascii="Arial" w:hAnsi="Arial" w:cs="Arial"/>
        </w:rPr>
        <w:br/>
      </w:r>
    </w:p>
    <w:p w14:paraId="7E6383DB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4. Информация о сроках и месте приема заявлений, а также о дате, времени и месте проведения жеребьевки размещается уполномоченным органом на официальном сайте Чукотского автономного округа в информационно-телекоммуникационной сети "Интернет" по адресу: www.chukotka.org.</w:t>
      </w:r>
      <w:r w:rsidRPr="002B329D">
        <w:rPr>
          <w:rFonts w:ascii="Arial" w:hAnsi="Arial" w:cs="Arial"/>
        </w:rPr>
        <w:br/>
      </w:r>
    </w:p>
    <w:p w14:paraId="4AC66A2F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(в ред. Закона Чукотского автономного округа от 30.05.2014 N 54-ОЗ)</w:t>
      </w:r>
      <w:r w:rsidRPr="002B329D">
        <w:rPr>
          <w:rFonts w:ascii="Arial" w:hAnsi="Arial" w:cs="Arial"/>
        </w:rPr>
        <w:br/>
      </w:r>
    </w:p>
    <w:p w14:paraId="38E47035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5. Жеребьевка проводится Комиссией по вопросам охраны и использования животного мира, охоты и охотничьего хозяйства в Чукотском автономном округе уполномоченного органа (далее - Комиссия) по каждому виду охотничьих ресурсов методом случайной выборки зарегистрированных заявлений из общего числа зарегистрированных заявлений, запечатанных в немаркированные конверты.</w:t>
      </w:r>
      <w:r w:rsidRPr="002B329D">
        <w:rPr>
          <w:rFonts w:ascii="Arial" w:hAnsi="Arial" w:cs="Arial"/>
        </w:rPr>
        <w:br/>
      </w:r>
    </w:p>
    <w:p w14:paraId="2EB160A5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6. Жеребьевка проводится публично, при ее проведении могут присутствовать охотники, их представители, представители средств массовой информации.</w:t>
      </w:r>
      <w:r w:rsidRPr="002B329D">
        <w:rPr>
          <w:rFonts w:ascii="Arial" w:hAnsi="Arial" w:cs="Arial"/>
        </w:rPr>
        <w:br/>
      </w:r>
    </w:p>
    <w:p w14:paraId="65D5670A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7. По результатам проведения жеребьевки составляется протокол, который подписывается председателем (в его отсутствие - заместителем председателя) и секретарем Комиссии (в его отсутствие - одним из членов Комиссии, на которого решением Комиссии возлагаются функции секретаря Комиссии).</w:t>
      </w:r>
      <w:r w:rsidRPr="002B329D">
        <w:rPr>
          <w:rFonts w:ascii="Arial" w:hAnsi="Arial" w:cs="Arial"/>
        </w:rPr>
        <w:br/>
      </w:r>
    </w:p>
    <w:p w14:paraId="46DEE750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8. Протокол в пятидневный срок со дня окончания жеребьевки размещается уполномоченным органом на официальном сайте Чукотского автономного округа в информационно-телекоммуникационной сети "Интернет" по адресу: www.chukotka.org.</w:t>
      </w:r>
      <w:r w:rsidRPr="002B329D">
        <w:rPr>
          <w:rFonts w:ascii="Arial" w:hAnsi="Arial" w:cs="Arial"/>
        </w:rPr>
        <w:br/>
      </w:r>
    </w:p>
    <w:p w14:paraId="705CCB7D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(в ред. Закона Чукотского автономного округа от 30.05.2014 N 54-ОЗ)</w:t>
      </w:r>
      <w:r w:rsidRPr="002B329D">
        <w:rPr>
          <w:rFonts w:ascii="Arial" w:hAnsi="Arial" w:cs="Arial"/>
        </w:rPr>
        <w:br/>
      </w:r>
    </w:p>
    <w:p w14:paraId="32F77C0A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 xml:space="preserve">9. В случае, если количество заявлений не превышает квот, норм и нормативов, указанных в частях 1 и 2 настоящей статьи, жеребьевка не проводится, - разрешения распределяются между охотниками, подавшими </w:t>
      </w:r>
      <w:r w:rsidRPr="002B329D">
        <w:rPr>
          <w:rFonts w:ascii="Arial" w:hAnsi="Arial" w:cs="Arial"/>
        </w:rPr>
        <w:lastRenderedPageBreak/>
        <w:t>заявления.</w:t>
      </w:r>
      <w:r w:rsidRPr="002B329D">
        <w:rPr>
          <w:rFonts w:ascii="Arial" w:hAnsi="Arial" w:cs="Arial"/>
        </w:rPr>
        <w:br/>
      </w:r>
    </w:p>
    <w:p w14:paraId="5B5E4866" w14:textId="77777777" w:rsidR="002B329D" w:rsidRPr="002B329D" w:rsidRDefault="002B329D" w:rsidP="002B329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B329D">
        <w:rPr>
          <w:rFonts w:ascii="Arial" w:hAnsi="Arial" w:cs="Arial"/>
          <w:color w:val="auto"/>
          <w:sz w:val="24"/>
          <w:szCs w:val="24"/>
        </w:rPr>
        <w:t> Статья 8. Вступление в силу настоящего Закона</w:t>
      </w:r>
    </w:p>
    <w:p w14:paraId="4B0C56CF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36B104D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Настоящий Закон вступает в силу через 10 дней со дня его официального опубликования.</w:t>
      </w:r>
      <w:r w:rsidRPr="002B329D">
        <w:rPr>
          <w:rFonts w:ascii="Arial" w:hAnsi="Arial" w:cs="Arial"/>
        </w:rPr>
        <w:br/>
      </w:r>
    </w:p>
    <w:p w14:paraId="2D5D304B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Губернатор Чукотского</w:t>
      </w:r>
      <w:r w:rsidRPr="002B329D">
        <w:rPr>
          <w:rFonts w:ascii="Arial" w:hAnsi="Arial" w:cs="Arial"/>
        </w:rPr>
        <w:br/>
        <w:t>автономного округа</w:t>
      </w:r>
      <w:r w:rsidRPr="002B329D">
        <w:rPr>
          <w:rFonts w:ascii="Arial" w:hAnsi="Arial" w:cs="Arial"/>
        </w:rPr>
        <w:br/>
        <w:t>Р.В.КОПИН</w:t>
      </w:r>
    </w:p>
    <w:p w14:paraId="6B126A4F" w14:textId="77777777" w:rsidR="002B329D" w:rsidRPr="002B329D" w:rsidRDefault="002B329D" w:rsidP="002B32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B329D">
        <w:rPr>
          <w:rFonts w:ascii="Arial" w:hAnsi="Arial" w:cs="Arial"/>
        </w:rPr>
        <w:t>     г. Анадырь</w:t>
      </w:r>
      <w:r w:rsidRPr="002B329D">
        <w:rPr>
          <w:rFonts w:ascii="Arial" w:hAnsi="Arial" w:cs="Arial"/>
        </w:rPr>
        <w:br/>
        <w:t>     28 октября 2011 года</w:t>
      </w:r>
      <w:r w:rsidRPr="002B329D">
        <w:rPr>
          <w:rFonts w:ascii="Arial" w:hAnsi="Arial" w:cs="Arial"/>
        </w:rPr>
        <w:br/>
        <w:t>     N 107-ОЗ</w:t>
      </w:r>
    </w:p>
    <w:p w14:paraId="3C855A53" w14:textId="77777777" w:rsidR="002B329D" w:rsidRPr="002B329D" w:rsidRDefault="002B329D" w:rsidP="002B329D"/>
    <w:p w14:paraId="4864C585" w14:textId="77777777" w:rsidR="00111E27" w:rsidRPr="002B329D" w:rsidRDefault="00111E2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B329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B32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329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B32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B329D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2B3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B3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