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3093" w:rsidRPr="00E33093" w:rsidRDefault="00E33093" w:rsidP="00E33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3093">
        <w:rPr>
          <w:rFonts w:ascii="Times New Roman" w:hAnsi="Times New Roman" w:cs="Times New Roman"/>
          <w:b/>
          <w:sz w:val="24"/>
          <w:szCs w:val="24"/>
        </w:rPr>
        <w:t xml:space="preserve">Об утверждении границ </w:t>
      </w:r>
      <w:proofErr w:type="spellStart"/>
      <w:r w:rsidRPr="00E33093">
        <w:rPr>
          <w:rFonts w:ascii="Times New Roman" w:hAnsi="Times New Roman" w:cs="Times New Roman"/>
          <w:b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b/>
          <w:sz w:val="24"/>
          <w:szCs w:val="24"/>
        </w:rPr>
        <w:t xml:space="preserve"> зон и прибрежных защитных полос водотоков бассейна реки </w:t>
      </w:r>
      <w:proofErr w:type="spellStart"/>
      <w:r w:rsidRPr="00E33093">
        <w:rPr>
          <w:rFonts w:ascii="Times New Roman" w:hAnsi="Times New Roman" w:cs="Times New Roman"/>
          <w:b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b/>
          <w:sz w:val="24"/>
          <w:szCs w:val="24"/>
        </w:rPr>
        <w:t xml:space="preserve"> Калининградской области</w:t>
      </w: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от 24 ноября 2017 года N 187</w:t>
      </w: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Об утверждении границ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водотоков бассейна реки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Калининградской области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В соответствии со статьей 65 Водного кодекса Российской Федерации от 03.06.2006 N 74-ФЗ, Федеральным законом "О кадастровой деятельности" от 24.07.2007 N 221-ФЗ, Правилами установления на местности границ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границ прибрежных защитных полос водных объектов, утвержденными Постановлением Правительства Российской Федерации от 10 января 2009 г. N 17, Правилами направления органами государственной власти и органами местного самоуправления документов, необходимых для внесения сведений в государственный кадастр недвижимости, в федеральный орган исполнительной власти, уполномоченный в области государственной регистрации прав на недвижимое имущество и сделок с ним, кадастрового учета и ведения государственного кадастра недвижимости, а также требованиями к формату таких документов в электронной форме, утвержденными Постановлением Правительства Российской Федерации от 03.02.2014 N 71, Положением о Министерстве природных ресурсов и экологии Калининградской области, утвержденным Постановлением Правительства Калининградской области от 23 ноября 2015 года N 642,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1. Утвердить: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lastRenderedPageBreak/>
        <w:t xml:space="preserve">границы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водотоков бассейна реки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Калининградской области согласно приложению N 1 к настоящему Распоряжению;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правовой режим использования земельных участков в границах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водотоков бассейна реки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Калининградской области согласно приложению N 2 к настоящему Распоряжению.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2. Контроль за выполнением настоящего Распоряжения возложить на заместителя министра - начальника департамента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и водопользования Министерства природных ресурсов и экологии Калининградской области Е.И. Войцеховскую.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и экологии Калининградской области</w:t>
      </w:r>
    </w:p>
    <w:p w:rsid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О.А. Ступин</w:t>
      </w:r>
    </w:p>
    <w:p w:rsid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Приложение N 1. Перечень водотоков бассейна реки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Калининградской области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к Распоряжению Министерства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275B6E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от 24 ноября 2017 г. N 187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4835"/>
        <w:gridCol w:w="3741"/>
      </w:tblGrid>
      <w:tr w:rsidR="00E33093" w:rsidRPr="00E33093" w:rsidTr="00E3309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E33093" w:rsidRPr="00E33093" w:rsidRDefault="00E33093" w:rsidP="00E33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E33093" w:rsidRPr="00E33093" w:rsidRDefault="00E33093" w:rsidP="00E33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E33093" w:rsidRPr="00E33093" w:rsidRDefault="00E33093" w:rsidP="00E33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водного объекта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водотока, км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Бассейн водотоков реки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Преголи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Преголя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Гремячья (ДР)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32,20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Гурьевка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(МПОО-11)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26,60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Байдуковка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(МПГ-2)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Гвардейская (МПО-16)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Бобровая (МПО-18)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Торфяная (АУ)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Глубокая (НЕ)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Серебрянка (НЕ-13)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Большая (М)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16,00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Товарная (МПО-5)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15,1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Голубая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13,9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Загородка (ДР-2)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13,7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Дальний (МПО-8)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13,3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Низовка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(МПО-13)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Головенка (МПР-13)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Лесная (МПО-6)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12,5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Укрытая (МПРО-15)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Смоляная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Лесной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11,6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Воздушный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11,64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Буйная (МПР-15)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Прегольна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(МПО-14)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Новая (ПРЛ-4-1)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10,1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Шмаковка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(АУ-5)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Стрелка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Рингель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Семерка)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9,3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Колечко (ДР-10)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Бочка (К)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8,8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Приток (М-5)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Русак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(ДР-2-1)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Золотой (МПРО-17)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7,4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Северный (ОБ-2-2)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6,4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Восточный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6,2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Прудная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(ПР-1-3)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6,2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Житная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Лещевка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Менделеевский (МПР-3-2)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Луговая (АУ-1)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Румынка (МПО-18-1)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4,5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Парковый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4,4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3,9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Перелесная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(ПРГ-10-5)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Капитанка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(АУ-2)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3,7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Рустая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Лаковка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2,9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Литовский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Молодежный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2,2 </w:t>
            </w:r>
          </w:p>
        </w:tc>
      </w:tr>
      <w:tr w:rsidR="00E33093" w:rsidRPr="00E33093" w:rsidTr="00E3309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</w:t>
            </w:r>
            <w:proofErr w:type="spellEnd"/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Парковый-1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093" w:rsidRPr="00E33093" w:rsidRDefault="00E33093" w:rsidP="00E3309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</w:tr>
    </w:tbl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Приложение N 2. Правовой режим использования земельных участков в границах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границах прибрежных защитных полос водотоков бассейна реки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Преголи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Калининградской области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к Распоряжению Министерства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E33093" w:rsidRPr="00E33093" w:rsidRDefault="00E33093" w:rsidP="00E3309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от 24 ноября 2017 г. N 187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В соответствии с Водным кодексом Российской Федерации в границах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запрещается: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1) использование сточных вод в целях регулирования плодородия почв;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2) размещение кладбищ, скотомогильников, мест захоронения отходов производства и потребления, химических, взрывчатых, токсичных, отравляющих и ядовитых веществ, пунктов захоронения радиоактивных отходов;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3) осуществление авиационных мер по борьбе с вредными организмами;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4)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5) размещение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судостроительных и судоремонтных организаций, инфраструктуры внутренних водных путей при условии соблюдения требований законодательства в области охраны окружающей среды и настоящего Кодекса),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lastRenderedPageBreak/>
        <w:t xml:space="preserve">6) размещение специализированных хранилищ пестицидов 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агрохимикатов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, применение пестицидов и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агрохимикатов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>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7) сброс сточных, в том числе дренажных, вод;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8) разведка и добыча общераспространенных полезных ископаемых (за исключением случаев, если разведка и добыча общераспространенных полезных ископаемых осуществляются пользователями недр, осуществляющими разведку и добычу иных видов полезных ископаемых, в границах предоставленных им в соответствии с законодательством Российской Федерации о недрах горных отводов и (или) геологических отводов на основании утвержденного технического проекта в соответствии со статьей 19.1 Закона Российской Федерации от 21 февраля 1992 года N 2395-1 "О недрах").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В границах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допускаются проектирование, строительство, реконструкция, ввод в эксплуатацию, эксплуатация хозяйственных и иных объектов при условии оборудования таких объектов сооружениями, обеспечивающими охрану водных объектов от загрязнения, засорения, заиления и истощения вод в соответствии с водным законодательством и законодательством в области охраны окружающей среды. Выбор типа сооружения, обеспечивающего охрану водного объекта от загрязнения, засорения, заиления и истощения вод,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веществ, иных веществ и микроорганизмов.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В отношении территорий садоводческих, огороднических или дачных некоммерческих объединений граждан, размещенных в границах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 и не оборудованных сооружениями для очистки сточных вод, до момента их оборудования такими сооружениями и (или) подключения к системам (централизованные системы водоотведения (канализации), централизованные ливневые системы водоотведения) допускается применение приемников, изготовленных из водонепроницаемых материалов, предотвращающих поступление загрязняющих веществ, иных веществ и микроорганизмов в окружающую среду.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 xml:space="preserve">В границах прибрежных защитных полос наряду с установленными для </w:t>
      </w:r>
      <w:proofErr w:type="spellStart"/>
      <w:r w:rsidRPr="00E33093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E33093">
        <w:rPr>
          <w:rFonts w:ascii="Times New Roman" w:hAnsi="Times New Roman" w:cs="Times New Roman"/>
          <w:sz w:val="24"/>
          <w:szCs w:val="24"/>
        </w:rPr>
        <w:t xml:space="preserve"> зоны ограничениями запрещается: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1) распашка земель;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2) размещение отвалов размываемых грунтов;</w:t>
      </w: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</w:p>
    <w:p w:rsidR="00E33093" w:rsidRPr="00E33093" w:rsidRDefault="00E33093" w:rsidP="00E33093">
      <w:pPr>
        <w:rPr>
          <w:rFonts w:ascii="Times New Roman" w:hAnsi="Times New Roman" w:cs="Times New Roman"/>
          <w:sz w:val="24"/>
          <w:szCs w:val="24"/>
        </w:rPr>
      </w:pPr>
      <w:r w:rsidRPr="00E33093">
        <w:rPr>
          <w:rFonts w:ascii="Times New Roman" w:hAnsi="Times New Roman" w:cs="Times New Roman"/>
          <w:sz w:val="24"/>
          <w:szCs w:val="24"/>
        </w:rPr>
        <w:t>3) выпас сельскохозяйственных животных и организация для них летних лагерей, ванн.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484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6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75B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7821198cfc1441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