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93BF3" w:rsidRDefault="00D93BF3">
      <w:pPr>
        <w:pStyle w:val="EcoNormal"/>
        <w:jc w:val="both"/>
        <w:outlineLvl w:val="0"/>
      </w:pPr>
      <w:bookmarkStart w:id="1" w:name="_GoBack"/>
      <w:bookmarkEnd w:id="1"/>
    </w:p>
    <w:p w:rsidR="00D93BF3" w:rsidRDefault="00D93BF3">
      <w:pPr>
        <w:pStyle w:val="EcoNormal"/>
        <w:jc w:val="both"/>
        <w:outlineLvl w:val="0"/>
      </w:pPr>
      <w:r>
        <w:t>Зарегистрировано в Минюсте РФ 13 августа 2010 г. N 18145</w:t>
      </w:r>
    </w:p>
    <w:p w:rsidR="00D93BF3" w:rsidRDefault="00D93B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Title"/>
        <w:jc w:val="center"/>
      </w:pPr>
      <w:r>
        <w:t>ФЕДЕРАЛЬНАЯ СЛУЖБА ПО НАДЗОРУ В СФЕРЕ ЗАЩИТЫ</w:t>
      </w:r>
    </w:p>
    <w:p w:rsidR="00D93BF3" w:rsidRDefault="00D93BF3">
      <w:pPr>
        <w:pStyle w:val="EcoTitle"/>
        <w:jc w:val="center"/>
      </w:pPr>
      <w:r>
        <w:t>ПРАВ ПОТРЕБИТЕЛЕЙ И БЛАГОПОЛУЧИЯ ЧЕЛОВЕКА</w:t>
      </w:r>
    </w:p>
    <w:p w:rsidR="00D93BF3" w:rsidRDefault="00D93BF3">
      <w:pPr>
        <w:pStyle w:val="EcoTitle"/>
        <w:jc w:val="center"/>
      </w:pPr>
    </w:p>
    <w:p w:rsidR="00D93BF3" w:rsidRDefault="00D93BF3">
      <w:pPr>
        <w:pStyle w:val="EcoTitle"/>
        <w:jc w:val="center"/>
      </w:pPr>
      <w:r>
        <w:t>ГЛАВНЫЙ ГОСУДАРСТВЕННЫЙ САНИТАРНЫЙ ВРАЧ</w:t>
      </w:r>
    </w:p>
    <w:p w:rsidR="00D93BF3" w:rsidRDefault="00D93BF3">
      <w:pPr>
        <w:pStyle w:val="EcoTitle"/>
        <w:jc w:val="center"/>
      </w:pPr>
      <w:r>
        <w:t>РОССИЙСКОЙ ФЕДЕРАЦИИ</w:t>
      </w:r>
    </w:p>
    <w:p w:rsidR="00D93BF3" w:rsidRDefault="00D93BF3">
      <w:pPr>
        <w:pStyle w:val="EcoTitle"/>
        <w:jc w:val="center"/>
      </w:pPr>
    </w:p>
    <w:p w:rsidR="00D93BF3" w:rsidRDefault="00D93BF3">
      <w:pPr>
        <w:pStyle w:val="EcoTitle"/>
        <w:jc w:val="center"/>
      </w:pPr>
      <w:r>
        <w:t>ПОСТАНОВЛЕНИЕ</w:t>
      </w:r>
    </w:p>
    <w:p w:rsidR="00D93BF3" w:rsidRDefault="00D93BF3">
      <w:pPr>
        <w:pStyle w:val="EcoTitle"/>
        <w:jc w:val="center"/>
      </w:pPr>
      <w:r>
        <w:t>от 28 июня 2010 г. N 75</w:t>
      </w:r>
    </w:p>
    <w:p w:rsidR="00D93BF3" w:rsidRDefault="00D93BF3">
      <w:pPr>
        <w:pStyle w:val="EcoTitle"/>
        <w:jc w:val="center"/>
      </w:pPr>
    </w:p>
    <w:p w:rsidR="00D93BF3" w:rsidRDefault="00D93BF3">
      <w:pPr>
        <w:pStyle w:val="EcoTitle"/>
        <w:jc w:val="center"/>
      </w:pPr>
      <w:r>
        <w:t>ОБ УТВЕРЖДЕНИИ САНПИН 2.1.4.2653-10</w:t>
      </w:r>
    </w:p>
    <w:p w:rsidR="00D93BF3" w:rsidRDefault="00D93BF3">
      <w:pPr>
        <w:pStyle w:val="EcoTitle"/>
        <w:jc w:val="center"/>
      </w:pPr>
      <w:r>
        <w:t>"ИЗМЕНЕНИЯ N 2 К САНПИН 2.1.4.1116-02 "ПИТЬЕВАЯ ВОДА.</w:t>
      </w:r>
    </w:p>
    <w:p w:rsidR="00D93BF3" w:rsidRDefault="00D93BF3">
      <w:pPr>
        <w:pStyle w:val="EcoTitle"/>
        <w:jc w:val="center"/>
      </w:pPr>
      <w:r>
        <w:t>ГИГИЕНИЧЕСКИЕ ТРЕБОВАНИЯ К КАЧЕСТВУ ВОДЫ, РАСФАСОВАННОЙ</w:t>
      </w:r>
    </w:p>
    <w:p w:rsidR="00D93BF3" w:rsidRDefault="00D93BF3">
      <w:pPr>
        <w:pStyle w:val="EcoTitle"/>
        <w:jc w:val="center"/>
      </w:pPr>
      <w:r>
        <w:t>В ЕМКОСТИ. КОНТРОЛЬ КАЧЕСТВА"</w:t>
      </w:r>
    </w:p>
    <w:p w:rsidR="00D93BF3" w:rsidRDefault="00D93BF3">
      <w:pPr>
        <w:pStyle w:val="EcoNormal"/>
        <w:jc w:val="center"/>
      </w:pPr>
    </w:p>
    <w:p w:rsidR="00D93BF3" w:rsidRDefault="00D93BF3">
      <w:pPr>
        <w:pStyle w:val="EcoNormal"/>
        <w:ind w:firstLine="540"/>
        <w:jc w:val="both"/>
      </w:pPr>
      <w:r>
        <w:t>В соответствии с Федеральным законом от 30.03.1999 N 52-ФЗ "О санитарно-эпидемиологическом благополучии населения" (Собрание законодательства Российской Федерации, 1999, N 14, ст. 1650; 2002, N 1 (ч. I), ст. 2; 2003, N 2, ст. 167; N 27 (ч. I), ст. 2700; 2004, N 35, ст. 3607; 2005, N 19, ст. 1752; 2006, N 1, ст. 10; N 52 (ч. I), ст. 5498; 2007, N 1 (ч. I), ст. 21; N 1 (ч. I), ст. 29; N 27, ст. 3213; N 46, ст. 5554; N 49, ст. 6070; 2008, N 24, ст. 2801; N 29 (ч. I), ст. 3418; N 30 (ч. II), ст. 3616; N 44, ст. 4984; N 52 (ч. I), ст. 6223; 2009, N 1, ст. 17) и Постановлением Правительства Российской Федерации от 24.07.2000 N 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N 31, ст. 3295; 2004, N 8, ст. 663; N 47, ст. 4666; 2005, N 39, ст. 3953) постановляю:</w:t>
      </w:r>
    </w:p>
    <w:p w:rsidR="00D93BF3" w:rsidRDefault="00D93BF3">
      <w:pPr>
        <w:pStyle w:val="EcoNormal"/>
        <w:ind w:firstLine="540"/>
        <w:jc w:val="both"/>
      </w:pPr>
      <w:r>
        <w:t xml:space="preserve">Утвердить СанПиН 2.1.4.2653-10 "Изменения N 2 </w:t>
      </w:r>
      <w:proofErr w:type="gramStart"/>
      <w:r>
        <w:t>к СанПиН</w:t>
      </w:r>
      <w:proofErr w:type="gramEnd"/>
      <w:r>
        <w:t xml:space="preserve"> 2.1.4.1116-02 &lt;*&gt; "Питьевая вода. Гигиенические требования к качеству воды, расфасованной в емкости. Контроль качества (приложение).</w:t>
      </w:r>
    </w:p>
    <w:p w:rsidR="00D93BF3" w:rsidRDefault="00D93BF3">
      <w:pPr>
        <w:pStyle w:val="EcoNormal"/>
        <w:ind w:firstLine="540"/>
        <w:jc w:val="both"/>
      </w:pPr>
      <w:r>
        <w:t>--------------------------------</w:t>
      </w:r>
    </w:p>
    <w:p w:rsidR="00D93BF3" w:rsidRDefault="00D93BF3">
      <w:pPr>
        <w:pStyle w:val="EcoNormal"/>
        <w:ind w:firstLine="540"/>
        <w:jc w:val="both"/>
      </w:pPr>
      <w:r>
        <w:t>&lt;*&gt; Зарегистрированы Минюстом России 26.04.2002, регистрационный номер 3415, с изменениями, зарегистрированными Минюстом России 22.03.2010, регистрационный номер 16678.</w:t>
      </w: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jc w:val="right"/>
      </w:pPr>
      <w:r>
        <w:t>Г.Г.ОНИЩЕНКО</w:t>
      </w: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jc w:val="right"/>
        <w:outlineLvl w:val="0"/>
      </w:pPr>
      <w:r>
        <w:t>Приложение</w:t>
      </w:r>
    </w:p>
    <w:p w:rsidR="00D93BF3" w:rsidRDefault="00D93BF3">
      <w:pPr>
        <w:pStyle w:val="EcoNormal"/>
        <w:jc w:val="right"/>
      </w:pPr>
    </w:p>
    <w:p w:rsidR="00D93BF3" w:rsidRDefault="00D93BF3">
      <w:pPr>
        <w:pStyle w:val="EcoNormal"/>
        <w:jc w:val="right"/>
      </w:pPr>
      <w:r>
        <w:t>Утверждены</w:t>
      </w:r>
    </w:p>
    <w:p w:rsidR="00D93BF3" w:rsidRDefault="00D93BF3">
      <w:pPr>
        <w:pStyle w:val="EcoNormal"/>
        <w:jc w:val="right"/>
      </w:pPr>
      <w:r>
        <w:t>Постановлением</w:t>
      </w:r>
    </w:p>
    <w:p w:rsidR="00D93BF3" w:rsidRDefault="00D93BF3">
      <w:pPr>
        <w:pStyle w:val="EcoNormal"/>
        <w:jc w:val="right"/>
      </w:pPr>
      <w:r>
        <w:t>Главного государственного</w:t>
      </w:r>
    </w:p>
    <w:p w:rsidR="00D93BF3" w:rsidRDefault="00D93BF3">
      <w:pPr>
        <w:pStyle w:val="EcoNormal"/>
        <w:jc w:val="right"/>
      </w:pPr>
      <w:r>
        <w:t>санитарного врача</w:t>
      </w:r>
    </w:p>
    <w:p w:rsidR="00D93BF3" w:rsidRDefault="00D93BF3">
      <w:pPr>
        <w:pStyle w:val="EcoNormal"/>
        <w:jc w:val="right"/>
      </w:pPr>
      <w:r>
        <w:t>Российской Федерации</w:t>
      </w:r>
    </w:p>
    <w:p w:rsidR="00D93BF3" w:rsidRDefault="00D93BF3">
      <w:pPr>
        <w:pStyle w:val="EcoNormal"/>
        <w:jc w:val="right"/>
      </w:pPr>
      <w:r>
        <w:t>от 28.06.2010 N 75</w:t>
      </w: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Title"/>
        <w:jc w:val="center"/>
      </w:pPr>
      <w:bookmarkStart w:id="2" w:name="P38"/>
      <w:bookmarkEnd w:id="2"/>
      <w:r>
        <w:t>ИЗМЕНЕНИЯ N 2 К САНПИН 2.1.4.1116-02</w:t>
      </w:r>
    </w:p>
    <w:p w:rsidR="00D93BF3" w:rsidRDefault="00D93BF3">
      <w:pPr>
        <w:pStyle w:val="EcoTitle"/>
        <w:jc w:val="center"/>
      </w:pPr>
    </w:p>
    <w:p w:rsidR="00D93BF3" w:rsidRDefault="00D93BF3">
      <w:pPr>
        <w:pStyle w:val="EcoTitle"/>
        <w:jc w:val="center"/>
      </w:pPr>
      <w:r>
        <w:t>ПИТЬЕВАЯ ВОДА. ГИГИЕНИЧЕСКИЕ ТРЕБОВАНИЯ К КАЧЕСТВУ ВОДЫ,</w:t>
      </w:r>
    </w:p>
    <w:p w:rsidR="00D93BF3" w:rsidRDefault="00D93BF3">
      <w:pPr>
        <w:pStyle w:val="EcoTitle"/>
        <w:jc w:val="center"/>
      </w:pPr>
      <w:r>
        <w:lastRenderedPageBreak/>
        <w:t>РАСФАСОВАННОЙ В ЕМКОСТИ. КОНТРОЛЬ КАЧЕСТВА</w:t>
      </w:r>
    </w:p>
    <w:p w:rsidR="00D93BF3" w:rsidRDefault="00D93BF3">
      <w:pPr>
        <w:pStyle w:val="EcoTitle"/>
        <w:jc w:val="center"/>
      </w:pPr>
    </w:p>
    <w:p w:rsidR="00D93BF3" w:rsidRDefault="00D93BF3">
      <w:pPr>
        <w:pStyle w:val="EcoTitle"/>
        <w:jc w:val="center"/>
      </w:pPr>
      <w:r>
        <w:t>Санитарно-эпидемиологические правила и нормативы</w:t>
      </w:r>
    </w:p>
    <w:p w:rsidR="00D93BF3" w:rsidRDefault="00D93BF3">
      <w:pPr>
        <w:pStyle w:val="EcoTitle"/>
        <w:jc w:val="center"/>
      </w:pPr>
      <w:r>
        <w:t>СанПиН 2.1.4.2653-10</w:t>
      </w: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  <w:r>
        <w:t>Внести следующие изменения в СанПиН 2.1.4.1116-02 "Питьевая вода. Гигиенические требования к качеству воды, расфасованной в емкости. Контроль качества":</w:t>
      </w:r>
    </w:p>
    <w:p w:rsidR="00D93BF3" w:rsidRDefault="00D93BF3">
      <w:pPr>
        <w:pStyle w:val="EcoNormal"/>
        <w:ind w:firstLine="540"/>
        <w:jc w:val="both"/>
      </w:pPr>
      <w:r>
        <w:t xml:space="preserve">1. В подпункте </w:t>
      </w:r>
      <w:proofErr w:type="spellStart"/>
      <w:r>
        <w:t>II.д</w:t>
      </w:r>
      <w:proofErr w:type="spellEnd"/>
      <w:r>
        <w:t xml:space="preserve"> таблицы 2 пункта 4.4.5 главы IV изменить установленные ранее нормативы качества расфасованных вод для показателя "формальдегид", изложив изменения в следующей редакции:</w:t>
      </w:r>
    </w:p>
    <w:p w:rsidR="00D93BF3" w:rsidRDefault="00D93BF3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989"/>
        <w:gridCol w:w="1053"/>
        <w:gridCol w:w="1404"/>
        <w:gridCol w:w="1872"/>
        <w:gridCol w:w="1053"/>
        <w:gridCol w:w="936"/>
      </w:tblGrid>
      <w:tr w:rsidR="00D93BF3">
        <w:trPr>
          <w:trHeight w:val="244"/>
        </w:trPr>
        <w:tc>
          <w:tcPr>
            <w:tcW w:w="8307" w:type="dxa"/>
            <w:gridSpan w:val="6"/>
          </w:tcPr>
          <w:p w:rsidR="00D93BF3" w:rsidRDefault="00D93BF3">
            <w:pPr>
              <w:pStyle w:val="EcoNonformat"/>
              <w:jc w:val="both"/>
            </w:pPr>
            <w:r>
              <w:t xml:space="preserve">          </w:t>
            </w:r>
            <w:proofErr w:type="spellStart"/>
            <w:r>
              <w:t>II.д</w:t>
            </w:r>
            <w:proofErr w:type="spellEnd"/>
            <w:r>
              <w:t xml:space="preserve">. Показатели органического загрязнения:           </w:t>
            </w:r>
          </w:p>
        </w:tc>
      </w:tr>
      <w:tr w:rsidR="00D93BF3">
        <w:trPr>
          <w:trHeight w:val="244"/>
        </w:trPr>
        <w:tc>
          <w:tcPr>
            <w:tcW w:w="1989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  <w:r>
              <w:t xml:space="preserve">Формальдегид   </w:t>
            </w:r>
          </w:p>
        </w:tc>
        <w:tc>
          <w:tcPr>
            <w:tcW w:w="1053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  <w:r>
              <w:t xml:space="preserve"> мкг/л </w:t>
            </w:r>
          </w:p>
        </w:tc>
        <w:tc>
          <w:tcPr>
            <w:tcW w:w="1404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  <w:r>
              <w:t xml:space="preserve">    25    </w:t>
            </w:r>
          </w:p>
        </w:tc>
        <w:tc>
          <w:tcPr>
            <w:tcW w:w="1872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  <w:r>
              <w:t xml:space="preserve">      25      </w:t>
            </w:r>
          </w:p>
        </w:tc>
        <w:tc>
          <w:tcPr>
            <w:tcW w:w="1053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  <w:r>
              <w:t xml:space="preserve">с.-т.  </w:t>
            </w:r>
          </w:p>
        </w:tc>
        <w:tc>
          <w:tcPr>
            <w:tcW w:w="936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  <w:r>
              <w:t xml:space="preserve">  2   </w:t>
            </w:r>
          </w:p>
        </w:tc>
      </w:tr>
    </w:tbl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  <w:r>
        <w:t xml:space="preserve">2. Подпункт </w:t>
      </w:r>
      <w:proofErr w:type="spellStart"/>
      <w:r>
        <w:t>II.е</w:t>
      </w:r>
      <w:proofErr w:type="spellEnd"/>
      <w:r>
        <w:t xml:space="preserve"> таблицы 2 пункта 4.4.5 главы IV изложить в новой редакции:</w:t>
      </w:r>
    </w:p>
    <w:p w:rsidR="00D93BF3" w:rsidRDefault="00D93BF3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989"/>
        <w:gridCol w:w="1053"/>
        <w:gridCol w:w="1404"/>
        <w:gridCol w:w="1872"/>
        <w:gridCol w:w="1053"/>
        <w:gridCol w:w="936"/>
      </w:tblGrid>
      <w:tr w:rsidR="00D93BF3">
        <w:trPr>
          <w:trHeight w:val="244"/>
        </w:trPr>
        <w:tc>
          <w:tcPr>
            <w:tcW w:w="8307" w:type="dxa"/>
            <w:gridSpan w:val="6"/>
          </w:tcPr>
          <w:p w:rsidR="00D93BF3" w:rsidRDefault="00D93BF3">
            <w:pPr>
              <w:pStyle w:val="EcoNonformat"/>
              <w:jc w:val="both"/>
            </w:pPr>
            <w:r>
              <w:t xml:space="preserve">           </w:t>
            </w:r>
            <w:proofErr w:type="spellStart"/>
            <w:r>
              <w:t>II.е</w:t>
            </w:r>
            <w:proofErr w:type="spellEnd"/>
            <w:r>
              <w:t xml:space="preserve">. Комплексные показатели токсичности:            </w:t>
            </w:r>
          </w:p>
        </w:tc>
      </w:tr>
      <w:tr w:rsidR="00D93BF3">
        <w:trPr>
          <w:trHeight w:val="244"/>
        </w:trPr>
        <w:tc>
          <w:tcPr>
            <w:tcW w:w="1989" w:type="dxa"/>
            <w:tcBorders>
              <w:top w:val="nil"/>
            </w:tcBorders>
          </w:tcPr>
          <w:p w:rsidR="00D93BF3" w:rsidRPr="00D93BF3" w:rsidRDefault="00D93BF3">
            <w:pPr>
              <w:pStyle w:val="EcoNonformat"/>
              <w:jc w:val="both"/>
              <w:rPr>
                <w:lang w:val="en-US"/>
              </w:rPr>
            </w:pPr>
            <w:r>
              <w:t>По</w:t>
            </w:r>
            <w:r w:rsidRPr="00D93BF3">
              <w:rPr>
                <w:lang w:val="en-US"/>
              </w:rPr>
              <w:t xml:space="preserve"> SUM NO2 </w:t>
            </w:r>
            <w:r>
              <w:t>и</w:t>
            </w:r>
            <w:r w:rsidRPr="00D93BF3">
              <w:rPr>
                <w:lang w:val="en-US"/>
              </w:rPr>
              <w:t xml:space="preserve">   </w:t>
            </w:r>
          </w:p>
          <w:p w:rsidR="00D93BF3" w:rsidRPr="00D93BF3" w:rsidRDefault="00D93BF3">
            <w:pPr>
              <w:pStyle w:val="EcoNonformat"/>
              <w:jc w:val="both"/>
              <w:rPr>
                <w:lang w:val="en-US"/>
              </w:rPr>
            </w:pPr>
            <w:r w:rsidRPr="00D93BF3">
              <w:rPr>
                <w:lang w:val="en-US"/>
              </w:rPr>
              <w:t xml:space="preserve">NO3            </w:t>
            </w:r>
          </w:p>
        </w:tc>
        <w:tc>
          <w:tcPr>
            <w:tcW w:w="1053" w:type="dxa"/>
            <w:tcBorders>
              <w:top w:val="nil"/>
            </w:tcBorders>
          </w:tcPr>
          <w:p w:rsidR="00D93BF3" w:rsidRPr="00D93BF3" w:rsidRDefault="00D93BF3">
            <w:pPr>
              <w:pStyle w:val="EcoNonformat"/>
              <w:jc w:val="both"/>
              <w:rPr>
                <w:lang w:val="en-US"/>
              </w:rPr>
            </w:pPr>
          </w:p>
          <w:p w:rsidR="00D93BF3" w:rsidRDefault="00D93BF3">
            <w:pPr>
              <w:pStyle w:val="EcoNonformat"/>
              <w:jc w:val="both"/>
            </w:pPr>
            <w:r>
              <w:t>единицы</w:t>
            </w:r>
          </w:p>
        </w:tc>
        <w:tc>
          <w:tcPr>
            <w:tcW w:w="1404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 xml:space="preserve">   &lt;= 1   </w:t>
            </w:r>
          </w:p>
        </w:tc>
        <w:tc>
          <w:tcPr>
            <w:tcW w:w="1872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 xml:space="preserve">     &lt;= 1     </w:t>
            </w:r>
          </w:p>
        </w:tc>
        <w:tc>
          <w:tcPr>
            <w:tcW w:w="1053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 xml:space="preserve">   -   </w:t>
            </w:r>
          </w:p>
        </w:tc>
        <w:tc>
          <w:tcPr>
            <w:tcW w:w="936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 xml:space="preserve">  -   </w:t>
            </w:r>
          </w:p>
        </w:tc>
      </w:tr>
      <w:tr w:rsidR="00D93BF3">
        <w:trPr>
          <w:trHeight w:val="244"/>
        </w:trPr>
        <w:tc>
          <w:tcPr>
            <w:tcW w:w="1989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  <w:r>
              <w:t xml:space="preserve">По SUM         </w:t>
            </w:r>
          </w:p>
          <w:p w:rsidR="00D93BF3" w:rsidRDefault="00D93BF3">
            <w:pPr>
              <w:pStyle w:val="EcoNonformat"/>
              <w:jc w:val="both"/>
            </w:pPr>
            <w:proofErr w:type="spellStart"/>
            <w:r>
              <w:t>тригалометанов</w:t>
            </w:r>
            <w:proofErr w:type="spellEnd"/>
            <w:r>
              <w:t xml:space="preserve"> </w:t>
            </w:r>
          </w:p>
        </w:tc>
        <w:tc>
          <w:tcPr>
            <w:tcW w:w="1053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>единицы</w:t>
            </w:r>
          </w:p>
        </w:tc>
        <w:tc>
          <w:tcPr>
            <w:tcW w:w="1404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 xml:space="preserve">   &lt;= 1   </w:t>
            </w:r>
          </w:p>
        </w:tc>
        <w:tc>
          <w:tcPr>
            <w:tcW w:w="1872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 xml:space="preserve">     &lt;= 1     </w:t>
            </w:r>
          </w:p>
        </w:tc>
        <w:tc>
          <w:tcPr>
            <w:tcW w:w="1053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 xml:space="preserve">   -   </w:t>
            </w:r>
          </w:p>
        </w:tc>
        <w:tc>
          <w:tcPr>
            <w:tcW w:w="936" w:type="dxa"/>
            <w:tcBorders>
              <w:top w:val="nil"/>
            </w:tcBorders>
          </w:tcPr>
          <w:p w:rsidR="00D93BF3" w:rsidRDefault="00D93BF3">
            <w:pPr>
              <w:pStyle w:val="EcoNonformat"/>
              <w:jc w:val="both"/>
            </w:pPr>
          </w:p>
          <w:p w:rsidR="00D93BF3" w:rsidRDefault="00D93BF3">
            <w:pPr>
              <w:pStyle w:val="EcoNonformat"/>
              <w:jc w:val="both"/>
            </w:pPr>
            <w:r>
              <w:t xml:space="preserve">  -   </w:t>
            </w:r>
          </w:p>
        </w:tc>
      </w:tr>
    </w:tbl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  <w:r>
        <w:t>3. Дополнить примечание к таблице 2 пункта 4.4.5 главы IV примечаниями следующего содержания:</w:t>
      </w:r>
    </w:p>
    <w:p w:rsidR="00D93BF3" w:rsidRDefault="00D93BF3">
      <w:pPr>
        <w:pStyle w:val="EcoNormal"/>
        <w:ind w:firstLine="540"/>
        <w:jc w:val="both"/>
      </w:pPr>
      <w:r>
        <w:t xml:space="preserve">"3) Комплексные показатели по сумме NO2 + NO3 и сумме </w:t>
      </w:r>
      <w:proofErr w:type="spellStart"/>
      <w:r>
        <w:t>тригалометанов</w:t>
      </w:r>
      <w:proofErr w:type="spellEnd"/>
      <w:r>
        <w:t xml:space="preserve"> рассчитываются по формуле:</w:t>
      </w: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jc w:val="center"/>
      </w:pPr>
      <w:r w:rsidRPr="00F96DEE">
        <w:rPr>
          <w:position w:val="-30"/>
        </w:rPr>
        <w:pict>
          <v:shape id="_x0000_i1025" style="width:170.25pt;height:36.75pt" coordsize="" o:spt="100" adj="0,,0" path="" filled="f" stroked="f">
            <v:stroke joinstyle="miter"/>
            <v:imagedata r:id="rId4" o:title="base_1_103824_1"/>
            <v:formulas/>
            <v:path o:connecttype="segments"/>
          </v:shape>
        </w:pict>
      </w:r>
      <w:r>
        <w:t>, где</w:t>
      </w: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  <w:r>
        <w:t>С - содержание в воде, расфасованной в емкости, конкретного вещества в мг (мкг)/л;</w:t>
      </w:r>
    </w:p>
    <w:p w:rsidR="00D93BF3" w:rsidRDefault="00D93BF3">
      <w:pPr>
        <w:pStyle w:val="EcoNormal"/>
        <w:ind w:firstLine="540"/>
        <w:jc w:val="both"/>
      </w:pPr>
      <w:r>
        <w:t>ПДК - предельно допустимая концентрация этого вещества в воде, расфасованной в емкости, с учетом ее категории в мг (мкг)/л.</w:t>
      </w:r>
    </w:p>
    <w:p w:rsidR="00D93BF3" w:rsidRDefault="00D93BF3">
      <w:pPr>
        <w:pStyle w:val="EcoNormal"/>
        <w:ind w:firstLine="540"/>
        <w:jc w:val="both"/>
      </w:pPr>
      <w:r>
        <w:t xml:space="preserve">4) Выполняется анализ хлора остаточного (свободного и связанного), </w:t>
      </w:r>
      <w:proofErr w:type="spellStart"/>
      <w:r>
        <w:t>тригалометанов</w:t>
      </w:r>
      <w:proofErr w:type="spellEnd"/>
      <w:r>
        <w:t xml:space="preserve"> (хлороформ, </w:t>
      </w:r>
      <w:proofErr w:type="spellStart"/>
      <w:r>
        <w:t>бромоформ</w:t>
      </w:r>
      <w:proofErr w:type="spellEnd"/>
      <w:r>
        <w:t xml:space="preserve">, </w:t>
      </w:r>
      <w:proofErr w:type="spellStart"/>
      <w:r>
        <w:t>дибромхлорметан</w:t>
      </w:r>
      <w:proofErr w:type="spellEnd"/>
      <w:r>
        <w:t xml:space="preserve">, </w:t>
      </w:r>
      <w:proofErr w:type="spellStart"/>
      <w:r>
        <w:t>бромдихлорметан</w:t>
      </w:r>
      <w:proofErr w:type="spellEnd"/>
      <w:r>
        <w:t>) и четыреххлористого углерода только в расфасованной воде, источником которой является питьевая вода из централизованных систем питьевого водоснабжения.</w:t>
      </w:r>
    </w:p>
    <w:p w:rsidR="00D93BF3" w:rsidRDefault="00D93BF3">
      <w:pPr>
        <w:pStyle w:val="EcoNormal"/>
        <w:ind w:firstLine="540"/>
        <w:jc w:val="both"/>
      </w:pPr>
      <w:r>
        <w:t>5) Для газированных вод допускается снижение водородного показателя (</w:t>
      </w:r>
      <w:proofErr w:type="spellStart"/>
      <w:r>
        <w:t>pH</w:t>
      </w:r>
      <w:proofErr w:type="spellEnd"/>
      <w:r>
        <w:t>) не ниже 4,5 единиц".</w:t>
      </w:r>
    </w:p>
    <w:p w:rsidR="00D93BF3" w:rsidRDefault="00D93BF3">
      <w:pPr>
        <w:pStyle w:val="EcoNormal"/>
        <w:ind w:firstLine="540"/>
        <w:jc w:val="both"/>
      </w:pPr>
      <w:r>
        <w:t>4. В третьем абзаце примечания к таблице 5 пункта 4.7 заменить показатель уровня йодирования воды с "30 - 60 мкг/л" на "40 - 60 мкг/л".</w:t>
      </w:r>
    </w:p>
    <w:p w:rsidR="00D93BF3" w:rsidRDefault="00D93BF3">
      <w:pPr>
        <w:pStyle w:val="EcoNormal"/>
        <w:ind w:firstLine="540"/>
        <w:jc w:val="both"/>
      </w:pPr>
      <w:r>
        <w:t>5. Пункт 4.9 главы IV дополнить абзацем следующего содержания:</w:t>
      </w:r>
    </w:p>
    <w:p w:rsidR="00D93BF3" w:rsidRDefault="00D93BF3">
      <w:pPr>
        <w:pStyle w:val="EcoNormal"/>
        <w:ind w:firstLine="540"/>
        <w:jc w:val="both"/>
      </w:pPr>
      <w:r>
        <w:t>"Расфасованные воды с содержанием кислорода выше 15 мг/л должны проходить санитарно-токсикологическую оценку безопасности".</w:t>
      </w:r>
    </w:p>
    <w:p w:rsidR="00D93BF3" w:rsidRDefault="00D93BF3">
      <w:pPr>
        <w:pStyle w:val="EcoNormal"/>
        <w:ind w:firstLine="540"/>
        <w:jc w:val="both"/>
      </w:pPr>
      <w:r>
        <w:t>6. В пункт 4.11 главы IV после слов "а также следующим дополнительным требованиям:" внести изменения, изложив в следующей редакции:</w:t>
      </w:r>
    </w:p>
    <w:p w:rsidR="00D93BF3" w:rsidRDefault="00D93BF3">
      <w:pPr>
        <w:pStyle w:val="EcoNormal"/>
        <w:ind w:firstLine="540"/>
        <w:jc w:val="both"/>
      </w:pPr>
      <w:r>
        <w:t>"а) не допускается использование серебра и диоксида углерода в качестве консервантов;</w:t>
      </w:r>
    </w:p>
    <w:p w:rsidR="00D93BF3" w:rsidRDefault="00D93BF3">
      <w:pPr>
        <w:pStyle w:val="EcoNormal"/>
        <w:ind w:firstLine="540"/>
        <w:jc w:val="both"/>
      </w:pPr>
      <w:r>
        <w:t>б) содержание фторид-иона должно быть в пределах 0,6 - 1,0 мг/л;</w:t>
      </w:r>
    </w:p>
    <w:p w:rsidR="00D93BF3" w:rsidRDefault="00D93BF3">
      <w:pPr>
        <w:pStyle w:val="EcoNormal"/>
        <w:ind w:firstLine="540"/>
        <w:jc w:val="both"/>
      </w:pPr>
      <w:r>
        <w:t>в) содержание йодид-иона должно быть в пределах 0,04 - 0,06 мг/л &lt;*&gt;.</w:t>
      </w:r>
    </w:p>
    <w:p w:rsidR="00D93BF3" w:rsidRDefault="00D93BF3">
      <w:pPr>
        <w:pStyle w:val="EcoNormal"/>
        <w:ind w:firstLine="540"/>
        <w:jc w:val="both"/>
      </w:pPr>
      <w:r>
        <w:t>--------------------------------</w:t>
      </w:r>
    </w:p>
    <w:p w:rsidR="00D93BF3" w:rsidRDefault="00D93BF3">
      <w:pPr>
        <w:pStyle w:val="EcoNormal"/>
        <w:ind w:firstLine="540"/>
        <w:jc w:val="both"/>
      </w:pPr>
      <w:r>
        <w:t>Примечание:</w:t>
      </w:r>
    </w:p>
    <w:p w:rsidR="00D93BF3" w:rsidRDefault="00D93BF3">
      <w:pPr>
        <w:pStyle w:val="EcoNormal"/>
        <w:ind w:firstLine="540"/>
        <w:jc w:val="both"/>
      </w:pPr>
      <w:r>
        <w:lastRenderedPageBreak/>
        <w:t>&lt;*&gt; Допускается не проводить кондиционирование по йоду расфасованной воды для приготовления детского питания".</w:t>
      </w: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  <w:r>
        <w:t>7. Главу IV дополнить пунктами в следующей редакции:</w:t>
      </w:r>
    </w:p>
    <w:p w:rsidR="00D93BF3" w:rsidRDefault="00D93BF3">
      <w:pPr>
        <w:pStyle w:val="EcoNormal"/>
        <w:ind w:firstLine="540"/>
        <w:jc w:val="both"/>
      </w:pPr>
      <w:r>
        <w:t>"4.12. Вода питьевая должна быть разлита в потребительскую тару, разрешенную в установленном порядке для контакта с пищевыми продуктами.</w:t>
      </w:r>
    </w:p>
    <w:p w:rsidR="00D93BF3" w:rsidRDefault="00D93BF3">
      <w:pPr>
        <w:pStyle w:val="EcoNormal"/>
        <w:ind w:firstLine="540"/>
        <w:jc w:val="both"/>
      </w:pPr>
      <w:r>
        <w:t>4.13. Маркировка расфасованной воды должна содержать информацию в соответствии с требованиями законодательства.</w:t>
      </w:r>
    </w:p>
    <w:p w:rsidR="00D93BF3" w:rsidRDefault="00D93BF3">
      <w:pPr>
        <w:pStyle w:val="EcoNormal"/>
        <w:ind w:firstLine="540"/>
        <w:jc w:val="both"/>
      </w:pPr>
      <w:r>
        <w:t>Маркировка расфасованной воды, предназначенной для детского питания, должна содержать информацию по условиям ее применения после вскрытия бутылки.</w:t>
      </w:r>
    </w:p>
    <w:p w:rsidR="00D93BF3" w:rsidRDefault="00D93BF3">
      <w:pPr>
        <w:pStyle w:val="EcoNormal"/>
        <w:ind w:firstLine="540"/>
        <w:jc w:val="both"/>
      </w:pPr>
      <w:r>
        <w:t>4.14. Условия хранения и транспортировки расфасованной воды должны соответствовать требованиям, указанным в нормативной документации изготовителя на готовую продукцию, утвержденную в установленном порядке".</w:t>
      </w: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ind w:firstLine="540"/>
        <w:jc w:val="both"/>
      </w:pPr>
    </w:p>
    <w:p w:rsidR="00D93BF3" w:rsidRDefault="00D93BF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D2E60" w:rsidRDefault="00DD2E6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93B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D93BF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D93B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93B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