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F7A312" w14:textId="77777777" w:rsidR="00F412B9" w:rsidRDefault="00F412B9" w:rsidP="00F412B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t>ПРАВИТЕЛЬСТВО ЧЕЛЯБИНСКОЙ ОБЛАСТИ</w:t>
      </w: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от 20 марта 2008 года N 66-П</w:t>
      </w: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Об утверждении Положения о памятнике природы Челябинской области Борисовские сопки</w:t>
      </w:r>
    </w:p>
    <w:p w14:paraId="65378F3A" w14:textId="77777777" w:rsidR="00F412B9" w:rsidRDefault="00F412B9" w:rsidP="00F412B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(с изменениями на 29 июня 2020 года)</w:t>
      </w:r>
    </w:p>
    <w:p w14:paraId="1F7E8BEC" w14:textId="77777777" w:rsidR="00F412B9" w:rsidRDefault="00F412B9" w:rsidP="00F412B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(в ред. Постановления Правительства Челябинской области от 29.06.2020 N 296-П)</w:t>
      </w:r>
    </w:p>
    <w:p w14:paraId="54CAAD22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br/>
      </w:r>
      <w:r>
        <w:rPr>
          <w:rFonts w:ascii="Arial" w:hAnsi="Arial" w:cs="Arial"/>
          <w:color w:val="444444"/>
          <w:sz w:val="22"/>
        </w:rPr>
        <w:br/>
      </w:r>
    </w:p>
    <w:p w14:paraId="7E60C75E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В соответствии с Федеральным законом "Об особо охраняемых природных территориях", Законом Челябинской области "Об особо охраняемых природных территориях Челябинской области", в целях сохранения памятника природы Челябинской области Борисовские сопки Правительство Челябинской области</w:t>
      </w:r>
      <w:r>
        <w:rPr>
          <w:rFonts w:ascii="Arial" w:hAnsi="Arial" w:cs="Arial"/>
          <w:color w:val="444444"/>
          <w:sz w:val="22"/>
        </w:rPr>
        <w:br/>
      </w:r>
    </w:p>
    <w:p w14:paraId="61CD4F1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C5F2B00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ПОСТАНОВЛЯЕТ:</w:t>
      </w:r>
      <w:r>
        <w:rPr>
          <w:rFonts w:ascii="Arial" w:hAnsi="Arial" w:cs="Arial"/>
          <w:color w:val="444444"/>
          <w:sz w:val="22"/>
        </w:rPr>
        <w:br/>
      </w:r>
    </w:p>
    <w:p w14:paraId="0A016117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71F66AC5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1. Утвердить прилагаемое Положение о памятнике природы Челябинской области Борисовские сопки.</w:t>
      </w:r>
      <w:r>
        <w:rPr>
          <w:rFonts w:ascii="Arial" w:hAnsi="Arial" w:cs="Arial"/>
          <w:color w:val="444444"/>
          <w:sz w:val="22"/>
        </w:rPr>
        <w:br/>
      </w:r>
    </w:p>
    <w:p w14:paraId="156B095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6523F86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 xml:space="preserve">2. Контроль за исполнением требований Положения о памятнике природы Челябинской области Борисовские сопки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  <w:sz w:val="22"/>
        </w:rPr>
        <w:t>Подтесова</w:t>
      </w:r>
      <w:proofErr w:type="spellEnd"/>
      <w:r>
        <w:rPr>
          <w:rFonts w:ascii="Arial" w:hAnsi="Arial" w:cs="Arial"/>
          <w:color w:val="444444"/>
          <w:sz w:val="22"/>
        </w:rPr>
        <w:t xml:space="preserve"> </w:t>
      </w:r>
      <w:proofErr w:type="gramStart"/>
      <w:r>
        <w:rPr>
          <w:rFonts w:ascii="Arial" w:hAnsi="Arial" w:cs="Arial"/>
          <w:color w:val="444444"/>
          <w:sz w:val="22"/>
        </w:rPr>
        <w:t>Г.Н.</w:t>
      </w:r>
      <w:proofErr w:type="gramEnd"/>
      <w:r>
        <w:rPr>
          <w:rFonts w:ascii="Arial" w:hAnsi="Arial" w:cs="Arial"/>
          <w:color w:val="444444"/>
          <w:sz w:val="22"/>
        </w:rPr>
        <w:br/>
      </w:r>
    </w:p>
    <w:p w14:paraId="5C5BC74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7F7DEB5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3.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  <w:sz w:val="22"/>
        </w:rPr>
        <w:t>Кимайкин</w:t>
      </w:r>
      <w:proofErr w:type="spellEnd"/>
      <w:r>
        <w:rPr>
          <w:rFonts w:ascii="Arial" w:hAnsi="Arial" w:cs="Arial"/>
          <w:color w:val="444444"/>
          <w:sz w:val="22"/>
        </w:rPr>
        <w:t xml:space="preserve"> С.И.) опубликовать настоящее постановление в официальных средствах массовой информации.</w:t>
      </w:r>
      <w:r>
        <w:rPr>
          <w:rFonts w:ascii="Arial" w:hAnsi="Arial" w:cs="Arial"/>
          <w:color w:val="444444"/>
          <w:sz w:val="22"/>
        </w:rPr>
        <w:br/>
      </w:r>
    </w:p>
    <w:p w14:paraId="0B27944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8704F6C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 xml:space="preserve">4.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  <w:sz w:val="22"/>
        </w:rPr>
        <w:t>Подтесова</w:t>
      </w:r>
      <w:proofErr w:type="spellEnd"/>
      <w:r>
        <w:rPr>
          <w:rFonts w:ascii="Arial" w:hAnsi="Arial" w:cs="Arial"/>
          <w:color w:val="444444"/>
          <w:sz w:val="22"/>
        </w:rPr>
        <w:t xml:space="preserve"> </w:t>
      </w:r>
      <w:proofErr w:type="gramStart"/>
      <w:r>
        <w:rPr>
          <w:rFonts w:ascii="Arial" w:hAnsi="Arial" w:cs="Arial"/>
          <w:color w:val="444444"/>
          <w:sz w:val="22"/>
        </w:rPr>
        <w:t>Г.Н.</w:t>
      </w:r>
      <w:proofErr w:type="gramEnd"/>
      <w:r>
        <w:rPr>
          <w:rFonts w:ascii="Arial" w:hAnsi="Arial" w:cs="Arial"/>
          <w:color w:val="444444"/>
          <w:sz w:val="22"/>
        </w:rPr>
        <w:br/>
      </w:r>
    </w:p>
    <w:p w14:paraId="57A39DBA" w14:textId="77777777" w:rsidR="00F412B9" w:rsidRDefault="00F412B9" w:rsidP="00F412B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br/>
      </w:r>
      <w:r>
        <w:rPr>
          <w:rFonts w:ascii="Arial" w:hAnsi="Arial" w:cs="Arial"/>
          <w:color w:val="444444"/>
          <w:sz w:val="22"/>
        </w:rPr>
        <w:br/>
        <w:t>Председатель</w:t>
      </w:r>
      <w:r>
        <w:rPr>
          <w:rFonts w:ascii="Arial" w:hAnsi="Arial" w:cs="Arial"/>
          <w:color w:val="444444"/>
          <w:sz w:val="22"/>
        </w:rPr>
        <w:br/>
        <w:t>Правительства</w:t>
      </w:r>
      <w:r>
        <w:rPr>
          <w:rFonts w:ascii="Arial" w:hAnsi="Arial" w:cs="Arial"/>
          <w:color w:val="444444"/>
          <w:sz w:val="22"/>
        </w:rPr>
        <w:br/>
        <w:t>Челябинской области</w:t>
      </w:r>
      <w:r>
        <w:rPr>
          <w:rFonts w:ascii="Arial" w:hAnsi="Arial" w:cs="Arial"/>
          <w:color w:val="444444"/>
          <w:sz w:val="22"/>
        </w:rPr>
        <w:br/>
        <w:t>П.И.СУМИН</w:t>
      </w:r>
    </w:p>
    <w:p w14:paraId="3AE6CAF4" w14:textId="77777777" w:rsidR="00F412B9" w:rsidRDefault="00F412B9" w:rsidP="00F412B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Утверждено</w:t>
      </w:r>
      <w:r>
        <w:rPr>
          <w:rFonts w:ascii="Arial" w:hAnsi="Arial" w:cs="Arial"/>
          <w:color w:val="444444"/>
          <w:sz w:val="22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2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2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2"/>
          <w:szCs w:val="24"/>
        </w:rPr>
        <w:br/>
        <w:t>от 20 марта 2008 г. N 66-П</w:t>
      </w:r>
    </w:p>
    <w:p w14:paraId="4304B913" w14:textId="77777777" w:rsidR="00F412B9" w:rsidRDefault="00F412B9" w:rsidP="00F412B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  <w:sz w:val="22"/>
        </w:rPr>
      </w:pPr>
      <w:r>
        <w:rPr>
          <w:rFonts w:ascii="Arial" w:hAnsi="Arial" w:cs="Arial"/>
          <w:b/>
          <w:bCs/>
          <w:color w:val="444444"/>
          <w:sz w:val="22"/>
        </w:rPr>
        <w:lastRenderedPageBreak/>
        <w:br/>
      </w:r>
      <w:r>
        <w:rPr>
          <w:rFonts w:ascii="Arial" w:hAnsi="Arial" w:cs="Arial"/>
          <w:b/>
          <w:bCs/>
          <w:color w:val="444444"/>
          <w:sz w:val="22"/>
        </w:rPr>
        <w:br/>
        <w:t>Положение о памятнике природы Челябинской области Борисовские сопки</w:t>
      </w:r>
    </w:p>
    <w:p w14:paraId="273CDDDA" w14:textId="77777777" w:rsidR="00F412B9" w:rsidRDefault="00F412B9" w:rsidP="00F412B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(в ред. Постановления Правительства Челябинской области от 29.06.2020 N 296-П)</w:t>
      </w:r>
    </w:p>
    <w:p w14:paraId="6517C6C4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I. Общие положения</w:t>
      </w:r>
    </w:p>
    <w:p w14:paraId="5C312D7C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5AAD78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1. Настоящее Положение о памятнике природы Челябинской области Борисовские сопки (далее именуется - Положение) определяет правовой статус памятника природы Челябинской области Борисовские сопки (далее именуется - Памятник природы), устанавливает режим особой охраны Памятника природы, допустимые виды использования Памятника природы, а также содержит сведения о площади, описание местонахождения Памятника природы.</w:t>
      </w:r>
      <w:r>
        <w:rPr>
          <w:rFonts w:ascii="Arial" w:hAnsi="Arial" w:cs="Arial"/>
          <w:color w:val="444444"/>
          <w:sz w:val="22"/>
        </w:rPr>
        <w:br/>
      </w:r>
    </w:p>
    <w:p w14:paraId="661BE61B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7578840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2. Борисовские сопки отнесены к памятнику природы областного значения решением Исполнительного комитета Челябинского областного Совета депутатов трудящихся от 21 января 1969 года N 29 "Об охране памятников природы в области".</w:t>
      </w:r>
      <w:r>
        <w:rPr>
          <w:rFonts w:ascii="Arial" w:hAnsi="Arial" w:cs="Arial"/>
          <w:color w:val="444444"/>
          <w:sz w:val="22"/>
        </w:rPr>
        <w:br/>
      </w:r>
    </w:p>
    <w:p w14:paraId="5412F569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765DA824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3. Финансирование Памятника природы осуществляется в соответствии с Законом Челябинской области от 14 мая 2002 года N 81-ЗО "Об особо охраняемых природных территориях Челябинской области".</w:t>
      </w:r>
      <w:r>
        <w:rPr>
          <w:rFonts w:ascii="Arial" w:hAnsi="Arial" w:cs="Arial"/>
          <w:color w:val="444444"/>
          <w:sz w:val="22"/>
        </w:rPr>
        <w:br/>
      </w:r>
    </w:p>
    <w:p w14:paraId="0208559B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4C8DDC6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4. Целью образования Памятника природы является сохранение в естественном состоянии уникального ландшафтного образования.</w:t>
      </w:r>
      <w:r>
        <w:rPr>
          <w:rFonts w:ascii="Arial" w:hAnsi="Arial" w:cs="Arial"/>
          <w:color w:val="444444"/>
          <w:sz w:val="22"/>
        </w:rPr>
        <w:br/>
      </w:r>
    </w:p>
    <w:p w14:paraId="78F0ACD3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4231ED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5. Режим особой охраны Памятника природы учитывается при разработке территориальных комплексных схем, областных и районных схем землеустройства и районной планировки, а также при подготовке лесных регламентов и проектов освоения лесов.</w:t>
      </w:r>
      <w:r>
        <w:rPr>
          <w:rFonts w:ascii="Arial" w:hAnsi="Arial" w:cs="Arial"/>
          <w:color w:val="444444"/>
          <w:sz w:val="22"/>
        </w:rPr>
        <w:br/>
      </w:r>
    </w:p>
    <w:p w14:paraId="12626E6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5313E07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Лесные регламенты и проекты освоения лесов для территории Памятника природы, в том числе санитарно-оздоровительные мероприятия, а также проекты развития населенных пунктов, расположенных на границе с Памятником природы, согласовываются с Министерством по радиационной и экологической безопасности Челябинской области.</w:t>
      </w:r>
      <w:r>
        <w:rPr>
          <w:rFonts w:ascii="Arial" w:hAnsi="Arial" w:cs="Arial"/>
          <w:color w:val="444444"/>
          <w:sz w:val="22"/>
        </w:rPr>
        <w:br/>
      </w:r>
    </w:p>
    <w:p w14:paraId="2D2574A0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II. Сведения о площади, описание местонахождения и границ Памятника природы</w:t>
      </w:r>
    </w:p>
    <w:p w14:paraId="10F7EF0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29A7FCC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6. Памятник природы расположен на территории Пластовского муниципального района в 1,5 километра к югу от села Борисовка, на левом берегу реки Каменки.</w:t>
      </w:r>
      <w:r>
        <w:rPr>
          <w:rFonts w:ascii="Arial" w:hAnsi="Arial" w:cs="Arial"/>
          <w:color w:val="444444"/>
          <w:sz w:val="22"/>
        </w:rPr>
        <w:br/>
      </w:r>
    </w:p>
    <w:p w14:paraId="4C255FD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0D9C34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7. Общая площадь Памятника природы составляет 678,77 гектара.</w:t>
      </w:r>
      <w:r>
        <w:rPr>
          <w:rFonts w:ascii="Arial" w:hAnsi="Arial" w:cs="Arial"/>
          <w:color w:val="444444"/>
          <w:sz w:val="22"/>
        </w:rPr>
        <w:br/>
      </w:r>
    </w:p>
    <w:p w14:paraId="4D260370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65ECECE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lastRenderedPageBreak/>
        <w:t>8. Общая протяженность границы Памятника природы составляет 13,5 километра.</w:t>
      </w:r>
      <w:r>
        <w:rPr>
          <w:rFonts w:ascii="Arial" w:hAnsi="Arial" w:cs="Arial"/>
          <w:color w:val="444444"/>
          <w:sz w:val="22"/>
        </w:rPr>
        <w:br/>
      </w:r>
    </w:p>
    <w:p w14:paraId="3E309CF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A035BD1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9. Граница Памятника природы установлена по естественным, четко определенным объектам на местности - дорогам, просекам лесоустроительных кварталов, линиям электропередач и другим объектам (согласно приложению - не приводится).</w:t>
      </w:r>
      <w:r>
        <w:rPr>
          <w:rFonts w:ascii="Arial" w:hAnsi="Arial" w:cs="Arial"/>
          <w:color w:val="444444"/>
          <w:sz w:val="22"/>
        </w:rPr>
        <w:br/>
      </w:r>
    </w:p>
    <w:p w14:paraId="1DE64CD3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III. Краткое описание Памятника природы</w:t>
      </w:r>
    </w:p>
    <w:p w14:paraId="271E03B6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581146A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10. Памятник природы представляет собой три горы-останцы, покрытые лесом (сосна, ель, береза, осина), со скальными выходами на вершинах сопок.</w:t>
      </w:r>
      <w:r>
        <w:rPr>
          <w:rFonts w:ascii="Arial" w:hAnsi="Arial" w:cs="Arial"/>
          <w:color w:val="444444"/>
          <w:sz w:val="22"/>
        </w:rPr>
        <w:br/>
      </w:r>
    </w:p>
    <w:p w14:paraId="03F9024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2D9E4A5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Горная цепь имеет общую протяженность около 6 километров, расположена почти параллельно меридиану. Ширина Памятника природы не превышает 1,5 километра.</w:t>
      </w:r>
      <w:r>
        <w:rPr>
          <w:rFonts w:ascii="Arial" w:hAnsi="Arial" w:cs="Arial"/>
          <w:color w:val="444444"/>
          <w:sz w:val="22"/>
        </w:rPr>
        <w:br/>
      </w:r>
    </w:p>
    <w:p w14:paraId="7C2548E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3D6AEA9D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Сопки сложены кианитовыми кварцитами.</w:t>
      </w:r>
      <w:r>
        <w:rPr>
          <w:rFonts w:ascii="Arial" w:hAnsi="Arial" w:cs="Arial"/>
          <w:color w:val="444444"/>
          <w:sz w:val="22"/>
        </w:rPr>
        <w:br/>
      </w:r>
    </w:p>
    <w:p w14:paraId="49B75D0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A78C72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Достопримечательностью Памятника природы является копь, заложенная около ста лет назад. В настоящее время копь отработана.</w:t>
      </w:r>
      <w:r>
        <w:rPr>
          <w:rFonts w:ascii="Arial" w:hAnsi="Arial" w:cs="Arial"/>
          <w:color w:val="444444"/>
          <w:sz w:val="22"/>
        </w:rPr>
        <w:br/>
      </w:r>
    </w:p>
    <w:p w14:paraId="267C4B47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960BA2A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Имеется учтенное месторождение огнеупорного сырья.</w:t>
      </w:r>
      <w:r>
        <w:rPr>
          <w:rFonts w:ascii="Arial" w:hAnsi="Arial" w:cs="Arial"/>
          <w:color w:val="444444"/>
          <w:sz w:val="22"/>
        </w:rPr>
        <w:br/>
      </w:r>
    </w:p>
    <w:p w14:paraId="5ED288CA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IV. Сведения об охраняющем субъекте Памятника природы</w:t>
      </w:r>
    </w:p>
    <w:p w14:paraId="4DD69BA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3D1F241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11. Охрана Памятника природы организуется и осуществляется Министерством по радиационной и экологической безопасности Челябинской области при содействии областного государственного учреждения "Особо охраняемые природные территории Челябинской области".</w:t>
      </w:r>
      <w:r>
        <w:rPr>
          <w:rFonts w:ascii="Arial" w:hAnsi="Arial" w:cs="Arial"/>
          <w:color w:val="444444"/>
          <w:sz w:val="22"/>
        </w:rPr>
        <w:br/>
      </w:r>
    </w:p>
    <w:p w14:paraId="6EB7B9C7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95EEF12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Юридический адрес Министерства по радиационной и экологической безопасности Челябинской области: Челябинская область, город Челябинск, проспект Ленина, дом 57.</w:t>
      </w:r>
      <w:r>
        <w:rPr>
          <w:rFonts w:ascii="Arial" w:hAnsi="Arial" w:cs="Arial"/>
          <w:color w:val="444444"/>
          <w:sz w:val="22"/>
        </w:rPr>
        <w:br/>
      </w:r>
    </w:p>
    <w:p w14:paraId="6A064F0B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F133A1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Юридический адрес областного государственного учреждения "Особо охраняемые природные территории Челябинской области": Челябинская область, город Челябинск, улица Карла Маркса, дом 72а.</w:t>
      </w:r>
      <w:r>
        <w:rPr>
          <w:rFonts w:ascii="Arial" w:hAnsi="Arial" w:cs="Arial"/>
          <w:color w:val="444444"/>
          <w:sz w:val="22"/>
        </w:rPr>
        <w:br/>
      </w:r>
    </w:p>
    <w:p w14:paraId="6FA8E0DE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V. Режим особой охраны Памятника природы</w:t>
      </w:r>
    </w:p>
    <w:p w14:paraId="3CC7944B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F90CD99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12. В границах Памятника природы запрещается:</w:t>
      </w:r>
      <w:r>
        <w:rPr>
          <w:rFonts w:ascii="Arial" w:hAnsi="Arial" w:cs="Arial"/>
          <w:color w:val="444444"/>
          <w:sz w:val="22"/>
        </w:rPr>
        <w:br/>
      </w:r>
    </w:p>
    <w:p w14:paraId="012C43F2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A375AD5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lastRenderedPageBreak/>
        <w:t>1) отвод земельных участков и предоставление в аренду участков под новое строительство, включая коллективные сады, жилищное и хозяйственное строительство;</w:t>
      </w:r>
      <w:r>
        <w:rPr>
          <w:rFonts w:ascii="Arial" w:hAnsi="Arial" w:cs="Arial"/>
          <w:color w:val="444444"/>
          <w:sz w:val="22"/>
        </w:rPr>
        <w:br/>
      </w:r>
    </w:p>
    <w:p w14:paraId="58A44E8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3265A2BE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2) отвод земельных участков для целей личного рекреационного использования или рекреационного использования ограниченным кругом лиц;</w:t>
      </w:r>
      <w:r>
        <w:rPr>
          <w:rFonts w:ascii="Arial" w:hAnsi="Arial" w:cs="Arial"/>
          <w:color w:val="444444"/>
          <w:sz w:val="22"/>
        </w:rPr>
        <w:br/>
      </w:r>
    </w:p>
    <w:p w14:paraId="00212167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20B1FBF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3) проведение сплошных рубок (за исключением санитарных) и иных рубок, отрицательно влияющих на изменения природных характеристик Памятника природы;</w:t>
      </w:r>
      <w:r>
        <w:rPr>
          <w:rFonts w:ascii="Arial" w:hAnsi="Arial" w:cs="Arial"/>
          <w:color w:val="444444"/>
          <w:sz w:val="22"/>
        </w:rPr>
        <w:br/>
      </w:r>
    </w:p>
    <w:p w14:paraId="4FCDA61F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F6AE34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4) проведение изыскательских, взрывных, буровых работ, добыча полезных ископаемых;</w:t>
      </w:r>
      <w:r>
        <w:rPr>
          <w:rFonts w:ascii="Arial" w:hAnsi="Arial" w:cs="Arial"/>
          <w:color w:val="444444"/>
          <w:sz w:val="22"/>
        </w:rPr>
        <w:br/>
      </w:r>
    </w:p>
    <w:p w14:paraId="629D51E3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85B556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5)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>
        <w:rPr>
          <w:rFonts w:ascii="Arial" w:hAnsi="Arial" w:cs="Arial"/>
          <w:color w:val="444444"/>
          <w:sz w:val="22"/>
        </w:rPr>
        <w:br/>
      </w:r>
    </w:p>
    <w:p w14:paraId="72E8CF8C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86F1A5A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6) применение ядохимикатов и других химических средств защиты растений и стимуляторов роста растений, способных отрицательно воздействовать на древесно-кустарниковую растительность и объекты животного мира, в том числе в научных целях;</w:t>
      </w:r>
      <w:r>
        <w:rPr>
          <w:rFonts w:ascii="Arial" w:hAnsi="Arial" w:cs="Arial"/>
          <w:color w:val="444444"/>
          <w:sz w:val="22"/>
        </w:rPr>
        <w:br/>
      </w:r>
    </w:p>
    <w:p w14:paraId="0952EF80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DBABE31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7) размещение стоянок транспортных средств, ремонтных мастерских, автозаправочных станций, моечных транспортных средств;</w:t>
      </w:r>
      <w:r>
        <w:rPr>
          <w:rFonts w:ascii="Arial" w:hAnsi="Arial" w:cs="Arial"/>
          <w:color w:val="444444"/>
          <w:sz w:val="22"/>
        </w:rPr>
        <w:br/>
      </w:r>
    </w:p>
    <w:p w14:paraId="101F3C97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96417B8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8) распашка земель, прогон и выпас сельскохозяйственных животных, катание на лошадях, сенокошение вне специально отведенных мест;</w:t>
      </w:r>
      <w:r>
        <w:rPr>
          <w:rFonts w:ascii="Arial" w:hAnsi="Arial" w:cs="Arial"/>
          <w:color w:val="444444"/>
          <w:sz w:val="22"/>
        </w:rPr>
        <w:br/>
      </w:r>
    </w:p>
    <w:p w14:paraId="2FEE9D6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701A1F2F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9) сжигание сухих листьев и травы, разведение костров вне специально отведенных мест; проведение сельскохозяйственных палов;</w:t>
      </w:r>
      <w:r>
        <w:rPr>
          <w:rFonts w:ascii="Arial" w:hAnsi="Arial" w:cs="Arial"/>
          <w:color w:val="444444"/>
          <w:sz w:val="22"/>
        </w:rPr>
        <w:br/>
      </w:r>
    </w:p>
    <w:p w14:paraId="352B3DF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6F427B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10) промышленная заготовка лекарственных растений, технического сырья, древесных соков, ягод, грибов, плодов орехов, сбор живицы;</w:t>
      </w:r>
      <w:r>
        <w:rPr>
          <w:rFonts w:ascii="Arial" w:hAnsi="Arial" w:cs="Arial"/>
          <w:color w:val="444444"/>
          <w:sz w:val="22"/>
        </w:rPr>
        <w:br/>
      </w:r>
    </w:p>
    <w:p w14:paraId="6FA52153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2CFC58AD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11) повреждение информационных знаков и аншлагов;</w:t>
      </w:r>
      <w:r>
        <w:rPr>
          <w:rFonts w:ascii="Arial" w:hAnsi="Arial" w:cs="Arial"/>
          <w:color w:val="444444"/>
          <w:sz w:val="22"/>
        </w:rPr>
        <w:br/>
      </w:r>
    </w:p>
    <w:p w14:paraId="67E2B17F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7EC04E5E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12) иные виды деятельности, препятствующие сохранению, восстановлению и воспроизводству Памятника природы в естественном состоянии.</w:t>
      </w:r>
      <w:r>
        <w:rPr>
          <w:rFonts w:ascii="Arial" w:hAnsi="Arial" w:cs="Arial"/>
          <w:color w:val="444444"/>
          <w:sz w:val="22"/>
        </w:rPr>
        <w:br/>
      </w:r>
    </w:p>
    <w:p w14:paraId="328B684E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VI. Допустимые виды использования Памятника природы</w:t>
      </w:r>
    </w:p>
    <w:p w14:paraId="292D516D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A999B50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13. Использование Памятника природы допускается в следующих целях:</w:t>
      </w:r>
      <w:r>
        <w:rPr>
          <w:rFonts w:ascii="Arial" w:hAnsi="Arial" w:cs="Arial"/>
          <w:color w:val="444444"/>
          <w:sz w:val="22"/>
        </w:rPr>
        <w:br/>
      </w:r>
    </w:p>
    <w:p w14:paraId="01E8284E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25EDC74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lastRenderedPageBreak/>
        <w:t>1) научные (мониторинг состояния окружающей среды, изучение функционирования и развития природных экосистем и их компонентов и другие);</w:t>
      </w:r>
      <w:r>
        <w:rPr>
          <w:rFonts w:ascii="Arial" w:hAnsi="Arial" w:cs="Arial"/>
          <w:color w:val="444444"/>
          <w:sz w:val="22"/>
        </w:rPr>
        <w:br/>
      </w:r>
    </w:p>
    <w:p w14:paraId="4C3C16C0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38418E9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2) эколого-просветительские (проведение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 и другие);</w:t>
      </w:r>
      <w:r>
        <w:rPr>
          <w:rFonts w:ascii="Arial" w:hAnsi="Arial" w:cs="Arial"/>
          <w:color w:val="444444"/>
          <w:sz w:val="22"/>
        </w:rPr>
        <w:br/>
      </w:r>
    </w:p>
    <w:p w14:paraId="46089564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258094D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3) рекреационные (транзитные прогулки);</w:t>
      </w:r>
      <w:r>
        <w:rPr>
          <w:rFonts w:ascii="Arial" w:hAnsi="Arial" w:cs="Arial"/>
          <w:color w:val="444444"/>
          <w:sz w:val="22"/>
        </w:rPr>
        <w:br/>
      </w:r>
    </w:p>
    <w:p w14:paraId="16699F00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D05762C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4) природоохранные (предупреждение чрезвычайных ситуаций, сохранение генофонда видов живых организмов, обеспечение условий обитания редких и исчезающих видов растений и животных и другие).</w:t>
      </w:r>
      <w:r>
        <w:rPr>
          <w:rFonts w:ascii="Arial" w:hAnsi="Arial" w:cs="Arial"/>
          <w:color w:val="444444"/>
          <w:sz w:val="22"/>
        </w:rPr>
        <w:br/>
      </w:r>
    </w:p>
    <w:p w14:paraId="05937883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VII. Режим использования земельных участков, предоставленных в пользование физическим и юридическим лицам</w:t>
      </w:r>
    </w:p>
    <w:p w14:paraId="0582FD41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D3A5AE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14. Утратил силу. - Постановление Правительства Челябинской области от 29.06.2020 N 296-П.</w:t>
      </w:r>
      <w:r>
        <w:rPr>
          <w:rFonts w:ascii="Arial" w:hAnsi="Arial" w:cs="Arial"/>
          <w:color w:val="444444"/>
          <w:sz w:val="22"/>
        </w:rPr>
        <w:br/>
      </w:r>
    </w:p>
    <w:p w14:paraId="12BE949C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3457D0B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15. Собственники, владельцы и пользователи земельных участков, расположенных в границах Памятника природы, должны обеспечивать надлежащее санитарное и экологическое состояние Памятника природы.</w:t>
      </w:r>
      <w:r>
        <w:rPr>
          <w:rFonts w:ascii="Arial" w:hAnsi="Arial" w:cs="Arial"/>
          <w:color w:val="444444"/>
          <w:sz w:val="22"/>
        </w:rPr>
        <w:br/>
      </w:r>
    </w:p>
    <w:p w14:paraId="27EF6848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VII-I. Виды разрешенного использования земельных участков, расположенных в границах Памятника природы</w:t>
      </w:r>
    </w:p>
    <w:p w14:paraId="26805D89" w14:textId="77777777" w:rsidR="00F412B9" w:rsidRDefault="00F412B9" w:rsidP="00F412B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(введен Постановлением Правительства Челябинской области от 29.06.2020 N 296-П)</w:t>
      </w:r>
    </w:p>
    <w:p w14:paraId="25912045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br/>
      </w:r>
    </w:p>
    <w:p w14:paraId="4B8FC631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proofErr w:type="gramStart"/>
      <w:r>
        <w:rPr>
          <w:rFonts w:ascii="Arial" w:hAnsi="Arial" w:cs="Arial"/>
          <w:color w:val="444444"/>
          <w:sz w:val="22"/>
        </w:rPr>
        <w:t>15-1</w:t>
      </w:r>
      <w:proofErr w:type="gramEnd"/>
      <w:r>
        <w:rPr>
          <w:rFonts w:ascii="Arial" w:hAnsi="Arial" w:cs="Arial"/>
          <w:color w:val="444444"/>
          <w:sz w:val="22"/>
        </w:rPr>
        <w:t>. Основные виды разрешенного использования земельных участков, расположенных в границах Памятника природы:</w:t>
      </w:r>
      <w:r>
        <w:rPr>
          <w:rFonts w:ascii="Arial" w:hAnsi="Arial" w:cs="Arial"/>
          <w:color w:val="444444"/>
          <w:sz w:val="22"/>
        </w:rPr>
        <w:br/>
      </w:r>
    </w:p>
    <w:p w14:paraId="65B31872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22BDB4AB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1) охрана природных территорий;</w:t>
      </w:r>
      <w:r>
        <w:rPr>
          <w:rFonts w:ascii="Arial" w:hAnsi="Arial" w:cs="Arial"/>
          <w:color w:val="444444"/>
          <w:sz w:val="22"/>
        </w:rPr>
        <w:br/>
      </w:r>
    </w:p>
    <w:p w14:paraId="62C8C322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4AF2E656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 xml:space="preserve">2) проведение походов и экскурсий по ознакомлению с природой, пеших прогулок, устройство троп, размещение щитов с познавательными сведениями об окружающей природной среде, осуществление необходимых природоохранных и </w:t>
      </w:r>
      <w:proofErr w:type="spellStart"/>
      <w:r>
        <w:rPr>
          <w:rFonts w:ascii="Arial" w:hAnsi="Arial" w:cs="Arial"/>
          <w:color w:val="444444"/>
          <w:sz w:val="22"/>
        </w:rPr>
        <w:t>природовосстановительных</w:t>
      </w:r>
      <w:proofErr w:type="spellEnd"/>
      <w:r>
        <w:rPr>
          <w:rFonts w:ascii="Arial" w:hAnsi="Arial" w:cs="Arial"/>
          <w:color w:val="444444"/>
          <w:sz w:val="22"/>
        </w:rPr>
        <w:t xml:space="preserve"> мероприятий;</w:t>
      </w:r>
      <w:r>
        <w:rPr>
          <w:rFonts w:ascii="Arial" w:hAnsi="Arial" w:cs="Arial"/>
          <w:color w:val="444444"/>
          <w:sz w:val="22"/>
        </w:rPr>
        <w:br/>
      </w:r>
    </w:p>
    <w:p w14:paraId="637B5C2A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0E8B98D1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3) проведение рубок лесных насаждений:</w:t>
      </w:r>
      <w:r>
        <w:rPr>
          <w:rFonts w:ascii="Arial" w:hAnsi="Arial" w:cs="Arial"/>
          <w:color w:val="444444"/>
          <w:sz w:val="22"/>
        </w:rPr>
        <w:br/>
      </w:r>
    </w:p>
    <w:p w14:paraId="1C725070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6884893D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при обеспечении санитарной безопасности в лесах при использовании, охране, защите и воспроизводстве лесов;</w:t>
      </w:r>
      <w:r>
        <w:rPr>
          <w:rFonts w:ascii="Arial" w:hAnsi="Arial" w:cs="Arial"/>
          <w:color w:val="444444"/>
          <w:sz w:val="22"/>
        </w:rPr>
        <w:br/>
      </w:r>
    </w:p>
    <w:p w14:paraId="3F91DDF9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9FD7A1D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при уходе за лесами;</w:t>
      </w:r>
      <w:r>
        <w:rPr>
          <w:rFonts w:ascii="Arial" w:hAnsi="Arial" w:cs="Arial"/>
          <w:color w:val="444444"/>
          <w:sz w:val="22"/>
        </w:rPr>
        <w:br/>
      </w:r>
    </w:p>
    <w:p w14:paraId="6C429083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50AED398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4) охрана и восстановление лесов;</w:t>
      </w:r>
      <w:r>
        <w:rPr>
          <w:rFonts w:ascii="Arial" w:hAnsi="Arial" w:cs="Arial"/>
          <w:color w:val="444444"/>
          <w:sz w:val="22"/>
        </w:rPr>
        <w:br/>
      </w:r>
    </w:p>
    <w:p w14:paraId="5DF85E89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C4F925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 xml:space="preserve">5) заготовка гражданами для собственных нужд пищевых лесных ресурсов и дикорастущих растений, </w:t>
      </w:r>
      <w:proofErr w:type="spellStart"/>
      <w:r>
        <w:rPr>
          <w:rFonts w:ascii="Arial" w:hAnsi="Arial" w:cs="Arial"/>
          <w:color w:val="444444"/>
          <w:sz w:val="22"/>
        </w:rPr>
        <w:t>недревесных</w:t>
      </w:r>
      <w:proofErr w:type="spellEnd"/>
      <w:r>
        <w:rPr>
          <w:rFonts w:ascii="Arial" w:hAnsi="Arial" w:cs="Arial"/>
          <w:color w:val="444444"/>
          <w:sz w:val="22"/>
        </w:rPr>
        <w:t xml:space="preserve"> лесных ресурсов.</w:t>
      </w:r>
      <w:r>
        <w:rPr>
          <w:rFonts w:ascii="Arial" w:hAnsi="Arial" w:cs="Arial"/>
          <w:color w:val="444444"/>
          <w:sz w:val="22"/>
        </w:rPr>
        <w:br/>
      </w:r>
    </w:p>
    <w:p w14:paraId="33AD4ADA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VIII. Государственный контроль Памятника природы</w:t>
      </w:r>
    </w:p>
    <w:p w14:paraId="1A1D58BA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72E18EA4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Утратил силу. - Постановление Правительства Челябинской области от 29.06.2020 N 296-П.</w:t>
      </w:r>
      <w:r>
        <w:rPr>
          <w:rFonts w:ascii="Arial" w:hAnsi="Arial" w:cs="Arial"/>
          <w:color w:val="444444"/>
          <w:sz w:val="22"/>
        </w:rPr>
        <w:br/>
      </w:r>
    </w:p>
    <w:p w14:paraId="522A16D3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IX. Ответственность за нарушение законодательства</w:t>
      </w:r>
    </w:p>
    <w:p w14:paraId="33BA7033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26F1C50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Утратил силу. - Постановление Правительства Челябинской области от 29.06.2020 N 296-П.</w:t>
      </w:r>
      <w:r>
        <w:rPr>
          <w:rFonts w:ascii="Arial" w:hAnsi="Arial" w:cs="Arial"/>
          <w:color w:val="444444"/>
          <w:sz w:val="22"/>
        </w:rPr>
        <w:br/>
      </w:r>
    </w:p>
    <w:p w14:paraId="4B9DDCFD" w14:textId="77777777" w:rsidR="00F412B9" w:rsidRDefault="00F412B9" w:rsidP="00F412B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2"/>
          <w:szCs w:val="24"/>
        </w:rPr>
      </w:pPr>
      <w:r>
        <w:rPr>
          <w:rFonts w:ascii="Arial" w:hAnsi="Arial" w:cs="Arial"/>
          <w:color w:val="444444"/>
          <w:sz w:val="22"/>
          <w:szCs w:val="24"/>
        </w:rPr>
        <w:br/>
      </w:r>
      <w:r>
        <w:rPr>
          <w:rFonts w:ascii="Arial" w:hAnsi="Arial" w:cs="Arial"/>
          <w:color w:val="444444"/>
          <w:sz w:val="22"/>
          <w:szCs w:val="24"/>
        </w:rPr>
        <w:br/>
        <w:t>X. Заключительное положение</w:t>
      </w:r>
    </w:p>
    <w:p w14:paraId="0233AB08" w14:textId="77777777" w:rsidR="00F412B9" w:rsidRDefault="00F412B9" w:rsidP="00F412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2"/>
        </w:rPr>
      </w:pPr>
    </w:p>
    <w:p w14:paraId="13351293" w14:textId="77777777" w:rsidR="00F412B9" w:rsidRDefault="00F412B9" w:rsidP="00F412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t>Утратил силу. - Постановление Правительства Челябинской области от 29.06.2020 N 296-П.</w:t>
      </w:r>
      <w:r>
        <w:rPr>
          <w:rFonts w:ascii="Arial" w:hAnsi="Arial" w:cs="Arial"/>
          <w:color w:val="444444"/>
          <w:sz w:val="22"/>
        </w:rPr>
        <w:br/>
      </w:r>
    </w:p>
    <w:p w14:paraId="76163B83" w14:textId="77777777" w:rsidR="00F412B9" w:rsidRDefault="00F412B9" w:rsidP="00F412B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  <w:sz w:val="22"/>
        </w:rPr>
      </w:pPr>
      <w:r>
        <w:rPr>
          <w:rFonts w:ascii="Arial" w:hAnsi="Arial" w:cs="Arial"/>
          <w:color w:val="444444"/>
          <w:sz w:val="22"/>
        </w:rPr>
        <w:br/>
      </w:r>
      <w:r>
        <w:rPr>
          <w:rFonts w:ascii="Arial" w:hAnsi="Arial" w:cs="Arial"/>
          <w:color w:val="444444"/>
          <w:sz w:val="22"/>
        </w:rPr>
        <w:br/>
        <w:t>Министр</w:t>
      </w:r>
      <w:r>
        <w:rPr>
          <w:rFonts w:ascii="Arial" w:hAnsi="Arial" w:cs="Arial"/>
          <w:color w:val="444444"/>
          <w:sz w:val="22"/>
        </w:rPr>
        <w:br/>
        <w:t>радиационной</w:t>
      </w:r>
      <w:r>
        <w:rPr>
          <w:rFonts w:ascii="Arial" w:hAnsi="Arial" w:cs="Arial"/>
          <w:color w:val="444444"/>
          <w:sz w:val="22"/>
        </w:rPr>
        <w:br/>
        <w:t>и экологической безопасности</w:t>
      </w:r>
      <w:r>
        <w:rPr>
          <w:rFonts w:ascii="Arial" w:hAnsi="Arial" w:cs="Arial"/>
          <w:color w:val="444444"/>
          <w:sz w:val="22"/>
        </w:rPr>
        <w:br/>
        <w:t>Челябинской области</w:t>
      </w:r>
      <w:r>
        <w:rPr>
          <w:rFonts w:ascii="Arial" w:hAnsi="Arial" w:cs="Arial"/>
          <w:color w:val="444444"/>
          <w:sz w:val="22"/>
        </w:rPr>
        <w:br/>
        <w:t>Г.Н.ПОДТЕСОВ</w:t>
      </w:r>
    </w:p>
    <w:p w14:paraId="4DF60494" w14:textId="77777777" w:rsidR="00F412B9" w:rsidRDefault="00F412B9" w:rsidP="00F412B9">
      <w:pPr>
        <w:rPr>
          <w:sz w:val="20"/>
          <w:szCs w:val="24"/>
        </w:rPr>
      </w:pPr>
    </w:p>
    <w:p w14:paraId="3A665C38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412B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F412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F412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412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412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F41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F41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