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B04368" w:rsidRDefault="00B04368">
      <w:pPr>
        <w:pStyle w:val="EcoNormal"/>
        <w:jc w:val="both"/>
        <w:outlineLvl w:val="0"/>
      </w:pPr>
      <w:bookmarkStart w:id="1" w:name="_GoBack"/>
      <w:bookmarkEnd w:id="1"/>
    </w:p>
    <w:p w:rsidR="00B04368" w:rsidRDefault="00B04368">
      <w:pPr>
        <w:pStyle w:val="EcoNormal"/>
        <w:outlineLvl w:val="0"/>
      </w:pPr>
      <w:r>
        <w:t>Зарегистрировано в Минюсте России 8 октября 2014 г. N 34266</w:t>
      </w:r>
    </w:p>
    <w:p w:rsidR="00B04368" w:rsidRDefault="00B04368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B04368" w:rsidRDefault="00B04368">
      <w:pPr>
        <w:pStyle w:val="EcoNormal"/>
        <w:jc w:val="both"/>
      </w:pPr>
    </w:p>
    <w:p w:rsidR="00B04368" w:rsidRDefault="00B04368">
      <w:pPr>
        <w:pStyle w:val="EcoTitle"/>
        <w:jc w:val="center"/>
      </w:pPr>
      <w:r>
        <w:t>МИНИСТЕРСТВО ПРИРОДНЫХ РЕСУРСОВ И ЭКОЛОГИИ</w:t>
      </w:r>
    </w:p>
    <w:p w:rsidR="00B04368" w:rsidRDefault="00B04368">
      <w:pPr>
        <w:pStyle w:val="EcoTitle"/>
        <w:jc w:val="center"/>
      </w:pPr>
      <w:r>
        <w:t>РОССИЙСКОЙ ФЕДЕРАЦИИ</w:t>
      </w:r>
    </w:p>
    <w:p w:rsidR="00B04368" w:rsidRDefault="00B04368">
      <w:pPr>
        <w:pStyle w:val="EcoTitle"/>
        <w:jc w:val="center"/>
      </w:pPr>
    </w:p>
    <w:p w:rsidR="00B04368" w:rsidRDefault="00B04368">
      <w:pPr>
        <w:pStyle w:val="EcoTitle"/>
        <w:jc w:val="center"/>
      </w:pPr>
      <w:r>
        <w:t>ПРИКАЗ</w:t>
      </w:r>
    </w:p>
    <w:p w:rsidR="00B04368" w:rsidRDefault="00B04368">
      <w:pPr>
        <w:pStyle w:val="EcoTitle"/>
        <w:jc w:val="center"/>
      </w:pPr>
      <w:r>
        <w:t>от 7 марта 2014 г. N 134</w:t>
      </w:r>
    </w:p>
    <w:p w:rsidR="00B04368" w:rsidRDefault="00B04368">
      <w:pPr>
        <w:pStyle w:val="EcoTitle"/>
        <w:jc w:val="center"/>
      </w:pPr>
    </w:p>
    <w:p w:rsidR="00B04368" w:rsidRDefault="00B04368">
      <w:pPr>
        <w:pStyle w:val="EcoTitle"/>
        <w:jc w:val="center"/>
      </w:pPr>
      <w:r>
        <w:t>ОБ УТВЕРЖДЕНИИ ПОРЯДКА</w:t>
      </w:r>
    </w:p>
    <w:p w:rsidR="00B04368" w:rsidRDefault="00B04368">
      <w:pPr>
        <w:pStyle w:val="EcoTitle"/>
        <w:jc w:val="center"/>
      </w:pPr>
      <w:r>
        <w:t>ОПРЕДЕЛЕНИЯ КОНКРЕТНЫХ РАЗМЕРОВ СТАВОК РЕГУЛЯРНЫХ ПЛАТЕЖЕЙ</w:t>
      </w:r>
    </w:p>
    <w:p w:rsidR="00B04368" w:rsidRDefault="00B04368">
      <w:pPr>
        <w:pStyle w:val="EcoTitle"/>
        <w:jc w:val="center"/>
      </w:pPr>
      <w:r>
        <w:t>ЗА ПОЛЬЗОВАНИЕ НЕДРАМИ</w:t>
      </w:r>
    </w:p>
    <w:p w:rsidR="00B04368" w:rsidRDefault="00B04368">
      <w:pPr>
        <w:pStyle w:val="EcoNormal"/>
        <w:jc w:val="both"/>
      </w:pPr>
    </w:p>
    <w:p w:rsidR="00B04368" w:rsidRDefault="00B04368">
      <w:pPr>
        <w:pStyle w:val="EcoNormal"/>
        <w:ind w:firstLine="540"/>
        <w:jc w:val="both"/>
      </w:pPr>
      <w:r>
        <w:t>В соответствии со статьей 43 Закона Российской Федерации от 21 февраля 1992 года N 2395-1 "О недрах" (Ведомости Съезда народных депутатов Российской Федерации и Верховного Совета Российской Федерации, 1992, N 16, ст. 834; Собрание законодательства Российской Федерации, 1995, N 10, ст. 823; 1999, N 7, ст. 879; 2000, N 2, ст. 141; 2001, N 21, ст. 2061; N 33, ст. 3429; 2002, N 22, ст. 2026; 2003, N 23, ст. 2174; 2004, N 27, ст. 2711; N 35, ст. 3607; 2006, N 17, ст. 1778; N 44, ст. 4538; 2007, N 27, ст. 3213; N 49, ст. 6056; 2008, N 18, ст. 1941; N 29, ст. 3418, ст. 3420; N 30, ст. 3616; 2009, N 1, ст. 17; N 29, ст. 3601; N 52, ст. 6450; 2010, N 21, ст. 2527; N 31, ст. 4155; 2011, N 15, ст. 2018, ст. 2025; N 30, ст. 4567, ст. 4570, ст. 4572, ст. 4590; N 48, ст. 6732; N 49, ст. 7042; N 50, ст. 7343, ст. 7359; 2012, N 25, ст. 3264; N 31, ст. 4322; N 53, ст. 7648; 2013, N 19, ст. 2312; N 30, ст. 4060, ст. 4061; N 52, ст. 6961, ст. 6973) приказываю:</w:t>
      </w:r>
    </w:p>
    <w:p w:rsidR="00B04368" w:rsidRDefault="00B04368">
      <w:pPr>
        <w:pStyle w:val="EcoNormal"/>
        <w:ind w:firstLine="540"/>
        <w:jc w:val="both"/>
      </w:pPr>
      <w:r>
        <w:t>Утвердить прилагаемый Порядок определения конкретных размеров ставок регулярных платежей за пользование недрами.</w:t>
      </w:r>
    </w:p>
    <w:p w:rsidR="00B04368" w:rsidRDefault="00B04368">
      <w:pPr>
        <w:pStyle w:val="EcoNormal"/>
        <w:jc w:val="both"/>
      </w:pPr>
    </w:p>
    <w:p w:rsidR="00B04368" w:rsidRDefault="00B04368">
      <w:pPr>
        <w:pStyle w:val="EcoNormal"/>
        <w:jc w:val="right"/>
      </w:pPr>
      <w:r>
        <w:t>Министр</w:t>
      </w:r>
    </w:p>
    <w:p w:rsidR="00B04368" w:rsidRDefault="00B04368">
      <w:pPr>
        <w:pStyle w:val="EcoNormal"/>
        <w:jc w:val="right"/>
      </w:pPr>
      <w:r>
        <w:t>С.Е.ДОНСКОЙ</w:t>
      </w:r>
    </w:p>
    <w:p w:rsidR="00B04368" w:rsidRDefault="00B04368">
      <w:pPr>
        <w:pStyle w:val="EcoNormal"/>
        <w:jc w:val="both"/>
      </w:pPr>
    </w:p>
    <w:p w:rsidR="00B04368" w:rsidRDefault="00B04368">
      <w:pPr>
        <w:pStyle w:val="EcoNormal"/>
        <w:jc w:val="both"/>
      </w:pPr>
    </w:p>
    <w:p w:rsidR="00B04368" w:rsidRDefault="00B04368">
      <w:pPr>
        <w:pStyle w:val="EcoNormal"/>
        <w:jc w:val="both"/>
      </w:pPr>
    </w:p>
    <w:p w:rsidR="00B04368" w:rsidRDefault="00B04368">
      <w:pPr>
        <w:pStyle w:val="EcoNormal"/>
        <w:jc w:val="both"/>
      </w:pPr>
    </w:p>
    <w:p w:rsidR="00B04368" w:rsidRDefault="00B04368">
      <w:pPr>
        <w:pStyle w:val="EcoNormal"/>
        <w:jc w:val="both"/>
      </w:pPr>
    </w:p>
    <w:p w:rsidR="00B04368" w:rsidRDefault="00B04368">
      <w:pPr>
        <w:pStyle w:val="EcoNormal"/>
        <w:jc w:val="right"/>
        <w:outlineLvl w:val="0"/>
      </w:pPr>
      <w:r>
        <w:t>Утвержден</w:t>
      </w:r>
    </w:p>
    <w:p w:rsidR="00B04368" w:rsidRDefault="00B04368">
      <w:pPr>
        <w:pStyle w:val="EcoNormal"/>
        <w:jc w:val="right"/>
      </w:pPr>
      <w:r>
        <w:t>приказом Минприроды России</w:t>
      </w:r>
    </w:p>
    <w:p w:rsidR="00B04368" w:rsidRDefault="00B04368">
      <w:pPr>
        <w:pStyle w:val="EcoNormal"/>
        <w:jc w:val="right"/>
      </w:pPr>
      <w:r>
        <w:t>от 07.03.2014 N 134</w:t>
      </w:r>
    </w:p>
    <w:p w:rsidR="00B04368" w:rsidRDefault="00B04368">
      <w:pPr>
        <w:pStyle w:val="EcoNormal"/>
        <w:jc w:val="both"/>
      </w:pPr>
    </w:p>
    <w:p w:rsidR="00B04368" w:rsidRDefault="00B04368">
      <w:pPr>
        <w:pStyle w:val="EcoTitle"/>
        <w:jc w:val="center"/>
      </w:pPr>
      <w:bookmarkStart w:id="2" w:name="P28"/>
      <w:bookmarkEnd w:id="2"/>
      <w:r>
        <w:t>ПОРЯДОК</w:t>
      </w:r>
    </w:p>
    <w:p w:rsidR="00B04368" w:rsidRDefault="00B04368">
      <w:pPr>
        <w:pStyle w:val="EcoTitle"/>
        <w:jc w:val="center"/>
      </w:pPr>
      <w:r>
        <w:t>ОПРЕДЕЛЕНИЯ КОНКРЕТНЫХ РАЗМЕРОВ СТАВОК РЕГУЛЯРНЫХ ПЛАТЕЖЕЙ</w:t>
      </w:r>
    </w:p>
    <w:p w:rsidR="00B04368" w:rsidRDefault="00B04368">
      <w:pPr>
        <w:pStyle w:val="EcoTitle"/>
        <w:jc w:val="center"/>
      </w:pPr>
      <w:r>
        <w:t>ЗА ПОЛЬЗОВАНИЕ НЕДРАМИ</w:t>
      </w:r>
    </w:p>
    <w:p w:rsidR="00B04368" w:rsidRDefault="00B04368">
      <w:pPr>
        <w:pStyle w:val="EcoNormal"/>
        <w:jc w:val="both"/>
      </w:pPr>
    </w:p>
    <w:p w:rsidR="00B04368" w:rsidRDefault="00B04368">
      <w:pPr>
        <w:pStyle w:val="EcoNormal"/>
        <w:jc w:val="center"/>
        <w:outlineLvl w:val="1"/>
      </w:pPr>
      <w:r>
        <w:t>I. Общие положения</w:t>
      </w:r>
    </w:p>
    <w:p w:rsidR="00B04368" w:rsidRDefault="00B04368">
      <w:pPr>
        <w:pStyle w:val="EcoNormal"/>
        <w:jc w:val="both"/>
      </w:pPr>
    </w:p>
    <w:p w:rsidR="00B04368" w:rsidRDefault="00B04368">
      <w:pPr>
        <w:pStyle w:val="EcoNormal"/>
        <w:ind w:firstLine="540"/>
        <w:jc w:val="both"/>
      </w:pPr>
      <w:r>
        <w:t xml:space="preserve">1. Настоящий Порядок определения конкретных размеров ставок регулярных платежей за пользование недрами (далее - Порядок) разработан в соответствии со статьей 43 Закона Российской Федерации от 21 февраля 1992 года N 2395-1 "О недрах" (Ведомости Съезда народных депутатов Российской Федерации и Верховного Совета Российской Федерации, 1992, N 16, ст. 834; Собрание законодательства Российской Федерации, 1995, N 10, ст. 823; 1999, N 7, ст. 879; 2000, N 2, ст. 141; 2001, N 21, ст. 2061; N 33, ст. 3429; 2002, N 22, ст. 2026; 2003, N 23, ст. 2174; 2004, N 27, ст. 2711; N 35, ст. 3607; 2006, N 17, ст. 1778; N 44, ст. 4538; 2007, N 27, ст. 3213; N 49, ст. 6056; 2008, N 18, ст. 1941; N 29, ст. 3418; N 29, ст. 3420; N 30, ст. 3616; 2009, N 1, ст. 17; N 29, ст. 3601; N 52, ст. 6450; 2010, N 21, ст. 2527; N 31, ст. 4155; 2011, N 15, ст. 2018, ст. 2025; N 30, ст. 4567, ст. 4570, ст. 4572, ст. 4590; N 48, ст. 6732; N 49, ст. 7042; N 50, ст. 7343, ст. 7359; 2012, N 25, ст. 3264; N 31, ст. 4322; N 53, ст. 7648; 2013, </w:t>
      </w:r>
      <w:r>
        <w:lastRenderedPageBreak/>
        <w:t>N 19, ст. 2312; N 30, ст. 4060, ст. 4061; N 52, ст. 6961, ст. 6973); Положением о Министерстве природных ресурсов и экологии Российской Федерации, утвержденным постановлением Правительства Российской Федерации от 29 мая 2008 года N 404 (Собрание законодательства Российской Федерации, 2008, N 22, ст. 2581; N 42, ст. 4825; N 46, ст. 5337; 2009, N 3, ст. 378; N 6, ст. 738; N 33, ст. 4088; N 34, ст. 4192; N 49, ст. 5976; 2010, N 5, ст. 538; N 10, ст. 1094; N 14, ст. 1656; N 26, ст. 3350; N 31, ст. 4251, ст. 4268; N 38, ст. 4835; 2011, N 6, ст. 888; N 14, ст. 1935; N 36, ст. 5149; 2012, N 7, ст. 865; N 11, ст. 1294; N 19, ст. 2440; N 28, ст. 3905; N 37, ст. 5001; N 46, ст. 6342; N 51, ст. 7223; 2013, N 16, ст. 1964; N 24, ст. 2999; N 28, ст. 3832; N 30, ст. 4113; N 33, ст. 4386; N 38, ст. 4827; N 45, ст. 5822; N 46, ст. 5944; 2014, N 2, ст. 123; N 16, ст. 1898); Положением о Федеральном агентстве по недропользованию, утвержденным постановлением Правительства Российской Федерации от 17 июня 2004 года N 293 (Собрание законодательства Российской Федерации, 2004, N 26, ст. 2669; 2006, N 25, ст. 2723; 2008, N 22, ст. 2581; N 42, ст. 4825; N 46, ст. 5337; 2009, N 6, ст. 738; N 33, ст. 4081; N 38, ст. 4489; 2010, N 26, ст. 3350; 2011, N 14, ст. 1935; 2013, N 10, ст. 1027; N 28, ст. 3832; N 45, ст. 5822; 2014, N 2, ст. 123; N 9, ст. 922).</w:t>
      </w:r>
    </w:p>
    <w:p w:rsidR="00B04368" w:rsidRDefault="00B04368">
      <w:pPr>
        <w:pStyle w:val="EcoNormal"/>
        <w:ind w:firstLine="540"/>
        <w:jc w:val="both"/>
      </w:pPr>
      <w:r>
        <w:t>2. Настоящий Порядок устанавливает принципы определения конкретного размера ставки регулярного платежа за пользование недрами по каждому участку недр, на который в установленном порядке выдается лицензия на пользование недрами, в том числе расположенному на континентальном шельфе Российской Федерации, в исключительной экономической зоне Российской Федерации или за пределами Российской Федерации на территориях, находящихся под юрисдикцией Российской Федерации, а также арендуемых у иностранных государств или используемых на основании международного договора (если иное не установлено международным договором), в пределах минимальных и максимальных ставок, установленных законодательством Российской Федерации о недрах, и предназначен для использования Федеральным агентством по недропользованию, его территориальными органами при определении конкретных размеров ставок регулярных платежей за пользование участками недр, за исключением участков недр местного значения, в отношении которых конкретные размеры ставок регулярных платежей определяются органами государственной власти субъектов Российской Федерации.</w:t>
      </w:r>
    </w:p>
    <w:p w:rsidR="00B04368" w:rsidRDefault="00B04368">
      <w:pPr>
        <w:pStyle w:val="EcoNormal"/>
        <w:jc w:val="both"/>
      </w:pPr>
    </w:p>
    <w:p w:rsidR="00B04368" w:rsidRDefault="00B04368">
      <w:pPr>
        <w:pStyle w:val="EcoNormal"/>
        <w:jc w:val="center"/>
        <w:outlineLvl w:val="1"/>
      </w:pPr>
      <w:r>
        <w:t>II. Порядок определения конкретных размеров ставок</w:t>
      </w:r>
    </w:p>
    <w:p w:rsidR="00B04368" w:rsidRDefault="00B04368">
      <w:pPr>
        <w:pStyle w:val="EcoNormal"/>
        <w:jc w:val="center"/>
      </w:pPr>
      <w:r>
        <w:t>регулярных платежей за пользование недрами</w:t>
      </w:r>
    </w:p>
    <w:p w:rsidR="00B04368" w:rsidRDefault="00B04368">
      <w:pPr>
        <w:pStyle w:val="EcoNormal"/>
        <w:jc w:val="both"/>
      </w:pPr>
    </w:p>
    <w:p w:rsidR="00B04368" w:rsidRDefault="00B04368">
      <w:pPr>
        <w:pStyle w:val="EcoNormal"/>
        <w:ind w:firstLine="540"/>
        <w:jc w:val="both"/>
      </w:pPr>
      <w:r>
        <w:t>3. Размеры ставок регулярных платежей за пользование недрами определяются в зависимости от:</w:t>
      </w:r>
    </w:p>
    <w:p w:rsidR="00B04368" w:rsidRDefault="00B04368">
      <w:pPr>
        <w:pStyle w:val="EcoNormal"/>
        <w:ind w:firstLine="540"/>
        <w:jc w:val="both"/>
      </w:pPr>
      <w:r>
        <w:t>1) экономико-географических условий;</w:t>
      </w:r>
    </w:p>
    <w:p w:rsidR="00B04368" w:rsidRDefault="00B04368">
      <w:pPr>
        <w:pStyle w:val="EcoNormal"/>
        <w:ind w:firstLine="540"/>
        <w:jc w:val="both"/>
      </w:pPr>
      <w:r>
        <w:t>2) размера участка недр;</w:t>
      </w:r>
    </w:p>
    <w:p w:rsidR="00B04368" w:rsidRDefault="00B04368">
      <w:pPr>
        <w:pStyle w:val="EcoNormal"/>
        <w:ind w:firstLine="540"/>
        <w:jc w:val="both"/>
      </w:pPr>
      <w:r>
        <w:t>3) вида полезного ископаемого;</w:t>
      </w:r>
    </w:p>
    <w:p w:rsidR="00B04368" w:rsidRDefault="00B04368">
      <w:pPr>
        <w:pStyle w:val="EcoNormal"/>
        <w:ind w:firstLine="540"/>
        <w:jc w:val="both"/>
      </w:pPr>
      <w:r>
        <w:t>4) продолжительности работ;</w:t>
      </w:r>
    </w:p>
    <w:p w:rsidR="00B04368" w:rsidRDefault="00B04368">
      <w:pPr>
        <w:pStyle w:val="EcoNormal"/>
        <w:ind w:firstLine="540"/>
        <w:jc w:val="both"/>
      </w:pPr>
      <w:r>
        <w:t>5) степени геологической изученности территории;</w:t>
      </w:r>
    </w:p>
    <w:p w:rsidR="00B04368" w:rsidRDefault="00B04368">
      <w:pPr>
        <w:pStyle w:val="EcoNormal"/>
        <w:ind w:firstLine="540"/>
        <w:jc w:val="both"/>
      </w:pPr>
      <w:r>
        <w:t>6) степени риска.</w:t>
      </w:r>
    </w:p>
    <w:p w:rsidR="00B04368" w:rsidRDefault="00B04368">
      <w:pPr>
        <w:pStyle w:val="EcoNormal"/>
        <w:ind w:firstLine="540"/>
        <w:jc w:val="both"/>
      </w:pPr>
      <w:r>
        <w:t xml:space="preserve">Регулярный платеж за пользование недрами взимается за площадь участка недр, предоставленного </w:t>
      </w:r>
      <w:proofErr w:type="spellStart"/>
      <w:r>
        <w:t>недропользователю</w:t>
      </w:r>
      <w:proofErr w:type="spellEnd"/>
      <w:r>
        <w:t>, за вычетом площади возвращенной части участка недр.</w:t>
      </w:r>
    </w:p>
    <w:p w:rsidR="00B04368" w:rsidRDefault="00B04368">
      <w:pPr>
        <w:pStyle w:val="EcoNormal"/>
        <w:ind w:firstLine="540"/>
        <w:jc w:val="both"/>
      </w:pPr>
      <w:r>
        <w:t>Расчет конкретных размеров ставок регулярного платежа за пользование недрами производится по формуле:</w:t>
      </w:r>
    </w:p>
    <w:p w:rsidR="00B04368" w:rsidRDefault="00B04368">
      <w:pPr>
        <w:pStyle w:val="EcoNormal"/>
        <w:jc w:val="both"/>
      </w:pPr>
    </w:p>
    <w:p w:rsidR="00B04368" w:rsidRDefault="00B04368">
      <w:pPr>
        <w:pStyle w:val="EcoNormal"/>
        <w:ind w:firstLine="540"/>
        <w:jc w:val="both"/>
      </w:pPr>
      <w:bookmarkStart w:id="3" w:name="P50"/>
      <w:bookmarkEnd w:id="3"/>
      <w:r w:rsidRPr="00072760">
        <w:rPr>
          <w:position w:val="-12"/>
        </w:rPr>
        <w:pict>
          <v:shape id="_x0000_i1025" style="width:147.75pt;height:19.65pt" coordsize="" o:spt="100" adj="0,,0" path="" filled="f" stroked="f">
            <v:stroke joinstyle="miter"/>
            <v:imagedata r:id="rId4" o:title="base_1_169693_5"/>
            <v:formulas/>
            <v:path o:connecttype="segments"/>
          </v:shape>
        </w:pict>
      </w:r>
      <w:r>
        <w:t>, (1)</w:t>
      </w:r>
    </w:p>
    <w:p w:rsidR="00B04368" w:rsidRDefault="00B04368">
      <w:pPr>
        <w:pStyle w:val="EcoNormal"/>
        <w:jc w:val="both"/>
      </w:pPr>
    </w:p>
    <w:p w:rsidR="00B04368" w:rsidRDefault="00B04368">
      <w:pPr>
        <w:pStyle w:val="EcoNormal"/>
        <w:ind w:firstLine="540"/>
        <w:jc w:val="both"/>
      </w:pPr>
      <w:r>
        <w:t>где:</w:t>
      </w:r>
    </w:p>
    <w:p w:rsidR="00B04368" w:rsidRDefault="00B04368">
      <w:pPr>
        <w:pStyle w:val="EcoNormal"/>
        <w:ind w:firstLine="540"/>
        <w:jc w:val="both"/>
      </w:pPr>
      <w:r>
        <w:t>R - конкретный размер ставки регулярного платежа за пользование недрами (руб.);</w:t>
      </w:r>
    </w:p>
    <w:p w:rsidR="00B04368" w:rsidRDefault="00B04368">
      <w:pPr>
        <w:pStyle w:val="EcoNormal"/>
        <w:ind w:firstLine="540"/>
        <w:jc w:val="both"/>
      </w:pPr>
      <w:r w:rsidRPr="00072760">
        <w:rPr>
          <w:position w:val="-12"/>
        </w:rPr>
        <w:pict>
          <v:shape id="_x0000_i1026" style="width:27.1pt;height:19.65pt" coordsize="" o:spt="100" adj="0,,0" path="" filled="f" stroked="f">
            <v:stroke joinstyle="miter"/>
            <v:imagedata r:id="rId5" o:title="base_1_169693_6"/>
            <v:formulas/>
            <v:path o:connecttype="segments"/>
          </v:shape>
        </w:pict>
      </w:r>
      <w:r>
        <w:t xml:space="preserve"> - максимальный установленный размер ставки регулярного платежа (руб.);</w:t>
      </w:r>
    </w:p>
    <w:p w:rsidR="00B04368" w:rsidRDefault="00B04368">
      <w:pPr>
        <w:pStyle w:val="EcoNormal"/>
        <w:ind w:firstLine="540"/>
        <w:jc w:val="both"/>
      </w:pPr>
      <w:r w:rsidRPr="00072760">
        <w:rPr>
          <w:position w:val="-12"/>
        </w:rPr>
        <w:pict>
          <v:shape id="_x0000_i1027" style="width:26.2pt;height:19.65pt" coordsize="" o:spt="100" adj="0,,0" path="" filled="f" stroked="f">
            <v:stroke joinstyle="miter"/>
            <v:imagedata r:id="rId6" o:title="base_1_169693_7"/>
            <v:formulas/>
            <v:path o:connecttype="segments"/>
          </v:shape>
        </w:pict>
      </w:r>
      <w:r>
        <w:t xml:space="preserve"> - минимальный установленный размер ставки регулярного платежа (руб.);</w:t>
      </w:r>
    </w:p>
    <w:p w:rsidR="00B04368" w:rsidRDefault="00B04368">
      <w:pPr>
        <w:pStyle w:val="EcoNormal"/>
        <w:ind w:firstLine="540"/>
        <w:jc w:val="both"/>
      </w:pPr>
      <w:r>
        <w:t>K - поправочный коэффициент (может принимать значения от 0 до 1).</w:t>
      </w:r>
    </w:p>
    <w:p w:rsidR="00B04368" w:rsidRDefault="00B04368">
      <w:pPr>
        <w:pStyle w:val="EcoNormal"/>
        <w:ind w:firstLine="540"/>
        <w:jc w:val="both"/>
      </w:pPr>
      <w:r>
        <w:lastRenderedPageBreak/>
        <w:t>Максимальный (</w:t>
      </w:r>
      <w:r w:rsidRPr="00072760">
        <w:rPr>
          <w:position w:val="-12"/>
        </w:rPr>
        <w:pict>
          <v:shape id="_x0000_i1028" style="width:27.1pt;height:19.65pt" coordsize="" o:spt="100" adj="0,,0" path="" filled="f" stroked="f">
            <v:stroke joinstyle="miter"/>
            <v:imagedata r:id="rId5" o:title="base_1_169693_8"/>
            <v:formulas/>
            <v:path o:connecttype="segments"/>
          </v:shape>
        </w:pict>
      </w:r>
      <w:r>
        <w:t>) и минимальный (</w:t>
      </w:r>
      <w:r w:rsidRPr="00072760">
        <w:rPr>
          <w:position w:val="-12"/>
        </w:rPr>
        <w:pict>
          <v:shape id="_x0000_i1029" style="width:26.2pt;height:19.65pt" coordsize="" o:spt="100" adj="0,,0" path="" filled="f" stroked="f">
            <v:stroke joinstyle="miter"/>
            <v:imagedata r:id="rId6" o:title="base_1_169693_9"/>
            <v:formulas/>
            <v:path o:connecttype="segments"/>
          </v:shape>
        </w:pict>
      </w:r>
      <w:r>
        <w:t>) размер ставки регулярного платежа в формуле (1) определяется в зависимости от видов работ и полезных ископаемых в соответствии со статьей 43 Закона Российской Федерации от 21.02.1992 N 2395-1 "О недрах".</w:t>
      </w:r>
    </w:p>
    <w:p w:rsidR="00B04368" w:rsidRDefault="00B04368">
      <w:pPr>
        <w:pStyle w:val="EcoNormal"/>
        <w:ind w:firstLine="540"/>
        <w:jc w:val="both"/>
      </w:pPr>
      <w:r>
        <w:t>Поправочный коэффициент K в формуле (1), если иное не установлено настоящим Порядком, определяется как сумма поправочных коэффициентов, учитывающих условия проведения геологоразведочных работ и строительства и эксплуатации подземных сооружений, не связанных с добычей полезных ископаемых, приведенных в Приложении N 1 к настоящему Порядку.</w:t>
      </w:r>
    </w:p>
    <w:p w:rsidR="00B04368" w:rsidRDefault="00B04368">
      <w:pPr>
        <w:pStyle w:val="EcoNormal"/>
        <w:ind w:firstLine="540"/>
        <w:jc w:val="both"/>
      </w:pPr>
      <w:r>
        <w:t>Для определения конкретных ставок регулярных платежей за пользование недрами в целях поиска и оценки месторождений полезных ископаемых, начиная с 5-го года, а при проведении работ по геологическому изучению участков недр, расположенных полностью или частично в границах Республики Саха (Якутия), Камчатского края, Красноярского края, Хабаровского края, Иркутской области, Магаданской области, Сахалинской области, Ненецкого автономного округа, Чукотского автономного округа, Ямало-Ненецкого автономного округа, - с 7-го года пользования недрами, исчисленного с квартала, следующего за кварталом, в котором произведена государственная регистрация лицензии на пользование недрами, поправочный коэффициент K принимается равным 1.</w:t>
      </w:r>
    </w:p>
    <w:p w:rsidR="00B04368" w:rsidRDefault="00B04368">
      <w:pPr>
        <w:pStyle w:val="EcoNormal"/>
        <w:ind w:firstLine="540"/>
        <w:jc w:val="both"/>
      </w:pPr>
      <w:r>
        <w:t>Для определения конкретных ставок регулярных платежей за пользование недрами в целях разведки полезных ископаемых, начиная с 4-го года проведения разведочных работ, исчисленного с квартала, следующего за кварталом, в котором в установленном порядке в государственном реестре работ по геологическому изучению недр зарегистрированы разведочные работы, поправочный коэффициент K принимается равным 1.</w:t>
      </w:r>
    </w:p>
    <w:p w:rsidR="00B04368" w:rsidRDefault="00B04368">
      <w:pPr>
        <w:pStyle w:val="EcoNormal"/>
        <w:ind w:firstLine="540"/>
        <w:jc w:val="both"/>
      </w:pPr>
      <w:r>
        <w:t>Конкретный размер ставки регулярного платежа округляется до целых рублей по правилам математического округления чисел.</w:t>
      </w:r>
    </w:p>
    <w:p w:rsidR="00B04368" w:rsidRDefault="00B04368">
      <w:pPr>
        <w:pStyle w:val="EcoNormal"/>
        <w:ind w:firstLine="540"/>
        <w:jc w:val="both"/>
      </w:pPr>
      <w:r>
        <w:t>4. Конкретные размеры ставок регулярных платежей за пользование недрами по участкам недр, расположенным во внутренних морских водах, в территориальном море, на континентальном шельфе и в исключительной экономической зоне Российской Федерации, а также за пределами Российской Федерации на территориях, находящихся под юрисдикцией Российской Федерации, определяются по формуле (1) с учетом особенностей, установленных настоящим пунктом.</w:t>
      </w:r>
    </w:p>
    <w:p w:rsidR="00B04368" w:rsidRDefault="00B04368">
      <w:pPr>
        <w:pStyle w:val="EcoNormal"/>
        <w:ind w:firstLine="540"/>
        <w:jc w:val="both"/>
      </w:pPr>
      <w:r>
        <w:t>Поправочный коэффициент K в формуле (1) в целях определения конкретных размеров ставок регулярных платежей за пользование недрами по участкам недр, расположенным во внутренних морских водах, в территориальном море, на континентальном шельфе и в исключительной экономической зоне Российской Федерации, а также за пределами Российской Федерации на территориях, находящихся под юрисдикцией Российской Федерации, определяется как сумма поправочных коэффициентов, учитывающих условия проведения геологоразведочных работ и строительства и эксплуатации подземных сооружений, не связанных с добычей полезных ископаемых, приведенных в Приложении N 2 к настоящему Порядку.</w:t>
      </w:r>
    </w:p>
    <w:p w:rsidR="00B04368" w:rsidRDefault="00B04368">
      <w:pPr>
        <w:pStyle w:val="EcoNormal"/>
        <w:ind w:firstLine="540"/>
        <w:jc w:val="both"/>
      </w:pPr>
      <w:r>
        <w:t>Для определения конкретных ставок регулярных платежей за пользование недрами в целях поиска и оценки месторождений полезных ископаемых, начиная с 10-го года пользования недрами, исчисленного с первого числа квартала, следующего за кварталом, в котором произведена государственная регистрация лицензии на пользование недрами, поправочный коэффициент K принимается равным 1.</w:t>
      </w:r>
    </w:p>
    <w:p w:rsidR="00B04368" w:rsidRDefault="00B04368">
      <w:pPr>
        <w:pStyle w:val="EcoNormal"/>
        <w:ind w:firstLine="540"/>
        <w:jc w:val="both"/>
      </w:pPr>
      <w:r>
        <w:t>Для определения конкретных ставок регулярных платежей за пользование недрами в целях разведки полезных ископаемых, начиная с 8-го года проведения разведочных работ, исчисленного с первого числа квартала, следующего за кварталом, в котором в установленном порядке в государственном реестре работ по геологическому изучению недр зарегистрированы разведочные работы, поправочный коэффициент K принимается равным 1.</w:t>
      </w:r>
    </w:p>
    <w:p w:rsidR="00B04368" w:rsidRDefault="00B04368">
      <w:pPr>
        <w:pStyle w:val="EcoNormal"/>
        <w:jc w:val="both"/>
      </w:pPr>
    </w:p>
    <w:p w:rsidR="00B04368" w:rsidRDefault="00B04368">
      <w:pPr>
        <w:pStyle w:val="EcoNormal"/>
        <w:jc w:val="both"/>
      </w:pPr>
    </w:p>
    <w:p w:rsidR="00B04368" w:rsidRDefault="00B04368">
      <w:pPr>
        <w:pStyle w:val="EcoNormal"/>
        <w:jc w:val="both"/>
      </w:pPr>
    </w:p>
    <w:p w:rsidR="00B04368" w:rsidRDefault="00B04368">
      <w:pPr>
        <w:pStyle w:val="EcoNormal"/>
        <w:jc w:val="both"/>
      </w:pPr>
    </w:p>
    <w:p w:rsidR="00B04368" w:rsidRDefault="00B04368">
      <w:pPr>
        <w:pStyle w:val="EcoNormal"/>
        <w:jc w:val="both"/>
      </w:pPr>
    </w:p>
    <w:p w:rsidR="00B04368" w:rsidRDefault="00B04368">
      <w:pPr>
        <w:pStyle w:val="EcoNormal"/>
        <w:jc w:val="right"/>
        <w:outlineLvl w:val="1"/>
      </w:pPr>
      <w:r>
        <w:t>Приложение N 1</w:t>
      </w:r>
    </w:p>
    <w:p w:rsidR="00B04368" w:rsidRDefault="00B04368">
      <w:pPr>
        <w:pStyle w:val="EcoNormal"/>
        <w:jc w:val="right"/>
      </w:pPr>
      <w:r>
        <w:lastRenderedPageBreak/>
        <w:t>к Порядку определения конкретных</w:t>
      </w:r>
    </w:p>
    <w:p w:rsidR="00B04368" w:rsidRDefault="00B04368">
      <w:pPr>
        <w:pStyle w:val="EcoNormal"/>
        <w:jc w:val="right"/>
      </w:pPr>
      <w:r>
        <w:t>размеров ставок регулярных</w:t>
      </w:r>
    </w:p>
    <w:p w:rsidR="00B04368" w:rsidRDefault="00B04368">
      <w:pPr>
        <w:pStyle w:val="EcoNormal"/>
        <w:jc w:val="right"/>
      </w:pPr>
      <w:r>
        <w:t>платежей за пользование недрами</w:t>
      </w:r>
    </w:p>
    <w:p w:rsidR="00B04368" w:rsidRDefault="00B04368">
      <w:pPr>
        <w:pStyle w:val="EcoNormal"/>
        <w:jc w:val="both"/>
      </w:pPr>
    </w:p>
    <w:p w:rsidR="00B04368" w:rsidRDefault="00B04368">
      <w:pPr>
        <w:pStyle w:val="EcoNormal"/>
        <w:jc w:val="center"/>
      </w:pPr>
      <w:bookmarkStart w:id="4" w:name="P76"/>
      <w:bookmarkEnd w:id="4"/>
      <w:r>
        <w:t>ПОПРАВОЧНЫЕ КОЭФФИЦИЕНТЫ,</w:t>
      </w:r>
    </w:p>
    <w:p w:rsidR="00B04368" w:rsidRDefault="00B04368">
      <w:pPr>
        <w:pStyle w:val="EcoNormal"/>
        <w:jc w:val="center"/>
      </w:pPr>
      <w:r>
        <w:t>УЧИТЫВАЮЩИЕ УСЛОВИЯ ПРОВЕДЕНИЯ ГЕОЛОГОРАЗВЕДОЧНЫХ РАБОТ</w:t>
      </w:r>
    </w:p>
    <w:p w:rsidR="00B04368" w:rsidRDefault="00B04368">
      <w:pPr>
        <w:pStyle w:val="EcoNormal"/>
        <w:jc w:val="both"/>
      </w:pPr>
    </w:p>
    <w:p w:rsidR="00B04368" w:rsidRDefault="00B04368">
      <w:pPr/>
    </w:p>
    <w:p w:rsidR="00B04368" w:rsidRDefault="00B04368">
      <w:pPr>
        <w:pStyle w:val="EcoNormal"/>
        <w:jc w:val="center"/>
        <w:outlineLvl w:val="2"/>
      </w:pPr>
      <w:r>
        <w:lastRenderedPageBreak/>
        <w:t>Экономико-географические условия</w:t>
      </w:r>
    </w:p>
    <w:p w:rsidR="00B04368" w:rsidRDefault="00B04368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302"/>
        <w:gridCol w:w="1980"/>
        <w:gridCol w:w="2160"/>
        <w:gridCol w:w="2160"/>
      </w:tblGrid>
      <w:tr w:rsidR="00B04368">
        <w:tc>
          <w:tcPr>
            <w:tcW w:w="3302" w:type="dxa"/>
            <w:vMerge w:val="restart"/>
          </w:tcPr>
          <w:p w:rsidR="00B04368" w:rsidRDefault="00B04368">
            <w:pPr>
              <w:pStyle w:val="EcoNormal"/>
              <w:jc w:val="center"/>
            </w:pPr>
            <w:r>
              <w:t>Факторы</w:t>
            </w:r>
          </w:p>
        </w:tc>
        <w:tc>
          <w:tcPr>
            <w:tcW w:w="6300" w:type="dxa"/>
            <w:gridSpan w:val="3"/>
          </w:tcPr>
          <w:p w:rsidR="00B04368" w:rsidRDefault="00B04368">
            <w:pPr>
              <w:pStyle w:val="EcoNormal"/>
              <w:jc w:val="center"/>
            </w:pPr>
            <w:r>
              <w:t>Оценка влияния фактора при пользовании недрами в целях</w:t>
            </w:r>
          </w:p>
        </w:tc>
      </w:tr>
      <w:tr w:rsidR="00B04368">
        <w:tc>
          <w:tcPr>
            <w:tcW w:w="3302" w:type="dxa"/>
            <w:vMerge/>
          </w:tcPr>
          <w:p w:rsidR="00B04368" w:rsidRDefault="00B04368"/>
        </w:tc>
        <w:tc>
          <w:tcPr>
            <w:tcW w:w="1980" w:type="dxa"/>
          </w:tcPr>
          <w:p w:rsidR="00B04368" w:rsidRDefault="00B04368">
            <w:pPr>
              <w:pStyle w:val="EcoNormal"/>
              <w:jc w:val="center"/>
            </w:pPr>
            <w:r>
              <w:t>поиска и оценки месторождений полезных ископаемых</w:t>
            </w:r>
          </w:p>
        </w:tc>
        <w:tc>
          <w:tcPr>
            <w:tcW w:w="2160" w:type="dxa"/>
          </w:tcPr>
          <w:p w:rsidR="00B04368" w:rsidRDefault="00B04368">
            <w:pPr>
              <w:pStyle w:val="EcoNormal"/>
              <w:jc w:val="center"/>
            </w:pPr>
            <w:r>
              <w:t>разведки полезных ископаемых</w:t>
            </w:r>
          </w:p>
        </w:tc>
        <w:tc>
          <w:tcPr>
            <w:tcW w:w="2160" w:type="dxa"/>
          </w:tcPr>
          <w:p w:rsidR="00B04368" w:rsidRDefault="00B04368">
            <w:pPr>
              <w:pStyle w:val="EcoNormal"/>
              <w:jc w:val="center"/>
            </w:pPr>
            <w:r>
              <w:t>строительства и эксплуатации подземных сооружений, не связанных с добычей полезных ископаемых</w:t>
            </w:r>
          </w:p>
        </w:tc>
      </w:tr>
      <w:tr w:rsidR="00B04368">
        <w:tc>
          <w:tcPr>
            <w:tcW w:w="9602" w:type="dxa"/>
            <w:gridSpan w:val="4"/>
          </w:tcPr>
          <w:p w:rsidR="00B04368" w:rsidRDefault="00B04368">
            <w:pPr>
              <w:pStyle w:val="EcoNormal"/>
              <w:jc w:val="center"/>
              <w:outlineLvl w:val="3"/>
            </w:pPr>
            <w:r>
              <w:t>Расстояние от автомобильных дорог общего пользования регионального или межмуниципального значения (кратчайшее расстояние по прямой линии на карте)</w:t>
            </w:r>
          </w:p>
        </w:tc>
      </w:tr>
      <w:tr w:rsidR="00B04368">
        <w:tc>
          <w:tcPr>
            <w:tcW w:w="3302" w:type="dxa"/>
          </w:tcPr>
          <w:p w:rsidR="00B04368" w:rsidRDefault="00B04368">
            <w:pPr>
              <w:pStyle w:val="EcoNormal"/>
              <w:jc w:val="center"/>
            </w:pPr>
            <w:r>
              <w:t>Более 100 км</w:t>
            </w:r>
          </w:p>
        </w:tc>
        <w:tc>
          <w:tcPr>
            <w:tcW w:w="1980" w:type="dxa"/>
          </w:tcPr>
          <w:p w:rsidR="00B04368" w:rsidRDefault="00B04368">
            <w:pPr>
              <w:pStyle w:val="EcoNormal"/>
              <w:jc w:val="center"/>
            </w:pPr>
            <w:r>
              <w:t>0</w:t>
            </w:r>
          </w:p>
        </w:tc>
        <w:tc>
          <w:tcPr>
            <w:tcW w:w="2160" w:type="dxa"/>
          </w:tcPr>
          <w:p w:rsidR="00B04368" w:rsidRDefault="00B04368">
            <w:pPr>
              <w:pStyle w:val="EcoNormal"/>
              <w:jc w:val="center"/>
            </w:pPr>
            <w:r>
              <w:t>0</w:t>
            </w:r>
          </w:p>
        </w:tc>
        <w:tc>
          <w:tcPr>
            <w:tcW w:w="2160" w:type="dxa"/>
          </w:tcPr>
          <w:p w:rsidR="00B04368" w:rsidRDefault="00B04368">
            <w:pPr>
              <w:pStyle w:val="EcoNormal"/>
              <w:jc w:val="center"/>
            </w:pPr>
            <w:r>
              <w:t>0</w:t>
            </w:r>
          </w:p>
        </w:tc>
      </w:tr>
      <w:tr w:rsidR="00B04368">
        <w:tc>
          <w:tcPr>
            <w:tcW w:w="3302" w:type="dxa"/>
          </w:tcPr>
          <w:p w:rsidR="00B04368" w:rsidRDefault="00B04368">
            <w:pPr>
              <w:pStyle w:val="EcoNormal"/>
              <w:jc w:val="center"/>
            </w:pPr>
            <w:r>
              <w:t>50 - 100 км</w:t>
            </w:r>
          </w:p>
        </w:tc>
        <w:tc>
          <w:tcPr>
            <w:tcW w:w="1980" w:type="dxa"/>
          </w:tcPr>
          <w:p w:rsidR="00B04368" w:rsidRDefault="00B04368">
            <w:pPr>
              <w:pStyle w:val="EcoNormal"/>
              <w:jc w:val="center"/>
            </w:pPr>
            <w:r>
              <w:t>0,05</w:t>
            </w:r>
          </w:p>
        </w:tc>
        <w:tc>
          <w:tcPr>
            <w:tcW w:w="2160" w:type="dxa"/>
          </w:tcPr>
          <w:p w:rsidR="00B04368" w:rsidRDefault="00B04368">
            <w:pPr>
              <w:pStyle w:val="EcoNormal"/>
              <w:jc w:val="center"/>
            </w:pPr>
            <w:r>
              <w:t>0,05</w:t>
            </w:r>
          </w:p>
        </w:tc>
        <w:tc>
          <w:tcPr>
            <w:tcW w:w="2160" w:type="dxa"/>
          </w:tcPr>
          <w:p w:rsidR="00B04368" w:rsidRDefault="00B04368">
            <w:pPr>
              <w:pStyle w:val="EcoNormal"/>
              <w:jc w:val="center"/>
            </w:pPr>
            <w:r>
              <w:t>0,05</w:t>
            </w:r>
          </w:p>
        </w:tc>
      </w:tr>
      <w:tr w:rsidR="00B04368">
        <w:tc>
          <w:tcPr>
            <w:tcW w:w="3302" w:type="dxa"/>
          </w:tcPr>
          <w:p w:rsidR="00B04368" w:rsidRDefault="00B04368">
            <w:pPr>
              <w:pStyle w:val="EcoNormal"/>
              <w:jc w:val="center"/>
            </w:pPr>
            <w:r>
              <w:t>До 50 км</w:t>
            </w:r>
          </w:p>
        </w:tc>
        <w:tc>
          <w:tcPr>
            <w:tcW w:w="1980" w:type="dxa"/>
          </w:tcPr>
          <w:p w:rsidR="00B04368" w:rsidRDefault="00B04368">
            <w:pPr>
              <w:pStyle w:val="EcoNormal"/>
              <w:jc w:val="center"/>
            </w:pPr>
            <w:r>
              <w:t>0,10</w:t>
            </w:r>
          </w:p>
        </w:tc>
        <w:tc>
          <w:tcPr>
            <w:tcW w:w="2160" w:type="dxa"/>
          </w:tcPr>
          <w:p w:rsidR="00B04368" w:rsidRDefault="00B04368">
            <w:pPr>
              <w:pStyle w:val="EcoNormal"/>
              <w:jc w:val="center"/>
            </w:pPr>
            <w:r>
              <w:t>0,100</w:t>
            </w:r>
          </w:p>
        </w:tc>
        <w:tc>
          <w:tcPr>
            <w:tcW w:w="2160" w:type="dxa"/>
          </w:tcPr>
          <w:p w:rsidR="00B04368" w:rsidRDefault="00B04368">
            <w:pPr>
              <w:pStyle w:val="EcoNormal"/>
              <w:jc w:val="center"/>
            </w:pPr>
            <w:r>
              <w:t>0,100</w:t>
            </w:r>
          </w:p>
        </w:tc>
      </w:tr>
      <w:tr w:rsidR="00B04368">
        <w:tc>
          <w:tcPr>
            <w:tcW w:w="9602" w:type="dxa"/>
            <w:gridSpan w:val="4"/>
          </w:tcPr>
          <w:p w:rsidR="00B04368" w:rsidRDefault="00B04368">
            <w:pPr>
              <w:pStyle w:val="EcoNormal"/>
              <w:jc w:val="center"/>
              <w:outlineLvl w:val="3"/>
            </w:pPr>
            <w:r>
              <w:t>Климатические условия</w:t>
            </w:r>
          </w:p>
        </w:tc>
      </w:tr>
      <w:tr w:rsidR="00B04368">
        <w:tc>
          <w:tcPr>
            <w:tcW w:w="3302" w:type="dxa"/>
          </w:tcPr>
          <w:p w:rsidR="00B04368" w:rsidRDefault="00B04368">
            <w:pPr>
              <w:pStyle w:val="EcoNormal"/>
              <w:jc w:val="center"/>
            </w:pPr>
            <w:r>
              <w:t>Крайне неблагоприятные (районы арктических пустынь)</w:t>
            </w:r>
          </w:p>
        </w:tc>
        <w:tc>
          <w:tcPr>
            <w:tcW w:w="1980" w:type="dxa"/>
          </w:tcPr>
          <w:p w:rsidR="00B04368" w:rsidRDefault="00B04368">
            <w:pPr>
              <w:pStyle w:val="EcoNormal"/>
              <w:jc w:val="center"/>
            </w:pPr>
            <w:r>
              <w:t>0</w:t>
            </w:r>
          </w:p>
        </w:tc>
        <w:tc>
          <w:tcPr>
            <w:tcW w:w="2160" w:type="dxa"/>
          </w:tcPr>
          <w:p w:rsidR="00B04368" w:rsidRDefault="00B04368">
            <w:pPr>
              <w:pStyle w:val="EcoNormal"/>
              <w:jc w:val="center"/>
            </w:pPr>
            <w:r>
              <w:t>0</w:t>
            </w:r>
          </w:p>
        </w:tc>
        <w:tc>
          <w:tcPr>
            <w:tcW w:w="2160" w:type="dxa"/>
          </w:tcPr>
          <w:p w:rsidR="00B04368" w:rsidRDefault="00B04368">
            <w:pPr>
              <w:pStyle w:val="EcoNormal"/>
              <w:jc w:val="center"/>
            </w:pPr>
            <w:r>
              <w:t>0</w:t>
            </w:r>
          </w:p>
        </w:tc>
      </w:tr>
      <w:tr w:rsidR="00B04368">
        <w:tc>
          <w:tcPr>
            <w:tcW w:w="3302" w:type="dxa"/>
          </w:tcPr>
          <w:p w:rsidR="00B04368" w:rsidRDefault="00B04368">
            <w:pPr>
              <w:pStyle w:val="EcoNormal"/>
              <w:jc w:val="center"/>
            </w:pPr>
            <w:r>
              <w:t>Неблагоприятные (районы Крайнего Севера и приравненные к ним местности, районы высокогорья или безводные районы)</w:t>
            </w:r>
          </w:p>
        </w:tc>
        <w:tc>
          <w:tcPr>
            <w:tcW w:w="1980" w:type="dxa"/>
          </w:tcPr>
          <w:p w:rsidR="00B04368" w:rsidRDefault="00B04368">
            <w:pPr>
              <w:pStyle w:val="EcoNormal"/>
              <w:jc w:val="center"/>
            </w:pPr>
            <w:r>
              <w:t>0,075</w:t>
            </w:r>
          </w:p>
        </w:tc>
        <w:tc>
          <w:tcPr>
            <w:tcW w:w="2160" w:type="dxa"/>
          </w:tcPr>
          <w:p w:rsidR="00B04368" w:rsidRDefault="00B04368">
            <w:pPr>
              <w:pStyle w:val="EcoNormal"/>
              <w:jc w:val="center"/>
            </w:pPr>
            <w:r>
              <w:t>0,075</w:t>
            </w:r>
          </w:p>
        </w:tc>
        <w:tc>
          <w:tcPr>
            <w:tcW w:w="2160" w:type="dxa"/>
          </w:tcPr>
          <w:p w:rsidR="00B04368" w:rsidRDefault="00B04368">
            <w:pPr>
              <w:pStyle w:val="EcoNormal"/>
              <w:jc w:val="center"/>
            </w:pPr>
            <w:r>
              <w:t>0,075</w:t>
            </w:r>
          </w:p>
        </w:tc>
      </w:tr>
      <w:tr w:rsidR="00B04368">
        <w:tc>
          <w:tcPr>
            <w:tcW w:w="3302" w:type="dxa"/>
          </w:tcPr>
          <w:p w:rsidR="00B04368" w:rsidRDefault="00B04368">
            <w:pPr>
              <w:pStyle w:val="EcoNormal"/>
              <w:jc w:val="center"/>
            </w:pPr>
            <w:r>
              <w:t>Благоприятные</w:t>
            </w:r>
          </w:p>
        </w:tc>
        <w:tc>
          <w:tcPr>
            <w:tcW w:w="1980" w:type="dxa"/>
          </w:tcPr>
          <w:p w:rsidR="00B04368" w:rsidRDefault="00B04368">
            <w:pPr>
              <w:pStyle w:val="EcoNormal"/>
              <w:jc w:val="center"/>
            </w:pPr>
            <w:r>
              <w:t>0,150</w:t>
            </w:r>
          </w:p>
        </w:tc>
        <w:tc>
          <w:tcPr>
            <w:tcW w:w="2160" w:type="dxa"/>
          </w:tcPr>
          <w:p w:rsidR="00B04368" w:rsidRDefault="00B04368">
            <w:pPr>
              <w:pStyle w:val="EcoNormal"/>
              <w:jc w:val="center"/>
            </w:pPr>
            <w:r>
              <w:t>0,150</w:t>
            </w:r>
          </w:p>
        </w:tc>
        <w:tc>
          <w:tcPr>
            <w:tcW w:w="2160" w:type="dxa"/>
          </w:tcPr>
          <w:p w:rsidR="00B04368" w:rsidRDefault="00B04368">
            <w:pPr>
              <w:pStyle w:val="EcoNormal"/>
              <w:jc w:val="center"/>
            </w:pPr>
            <w:r>
              <w:t>0,150</w:t>
            </w:r>
          </w:p>
        </w:tc>
      </w:tr>
    </w:tbl>
    <w:p w:rsidR="00B04368" w:rsidRDefault="00B04368">
      <w:pPr>
        <w:pStyle w:val="EcoNormal"/>
        <w:jc w:val="both"/>
      </w:pPr>
    </w:p>
    <w:p w:rsidR="00B04368" w:rsidRDefault="00B04368">
      <w:pPr>
        <w:pStyle w:val="EcoNormal"/>
        <w:jc w:val="center"/>
        <w:outlineLvl w:val="2"/>
      </w:pPr>
      <w:r>
        <w:t>Продолжительность работ (для лицензий, в отношении</w:t>
      </w:r>
    </w:p>
    <w:p w:rsidR="00B04368" w:rsidRDefault="00B04368">
      <w:pPr>
        <w:pStyle w:val="EcoNormal"/>
        <w:jc w:val="center"/>
      </w:pPr>
      <w:r>
        <w:lastRenderedPageBreak/>
        <w:t>которых установлен предельный срок пользования недрами</w:t>
      </w:r>
    </w:p>
    <w:p w:rsidR="00B04368" w:rsidRDefault="00B04368">
      <w:pPr>
        <w:pStyle w:val="EcoNormal"/>
        <w:jc w:val="center"/>
      </w:pPr>
      <w:r>
        <w:t>для целей геологического изучения 5 лет)</w:t>
      </w:r>
    </w:p>
    <w:p w:rsidR="00B04368" w:rsidRDefault="00B04368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302"/>
        <w:gridCol w:w="1980"/>
        <w:gridCol w:w="2160"/>
        <w:gridCol w:w="2160"/>
      </w:tblGrid>
      <w:tr w:rsidR="00B04368">
        <w:tc>
          <w:tcPr>
            <w:tcW w:w="3302" w:type="dxa"/>
            <w:vMerge w:val="restart"/>
          </w:tcPr>
          <w:p w:rsidR="00B04368" w:rsidRDefault="00B04368">
            <w:pPr>
              <w:pStyle w:val="EcoNormal"/>
              <w:jc w:val="center"/>
            </w:pPr>
            <w:r>
              <w:t>Год пользования недрами, исчисленный с квартала, следующего за кварталом, в котором произведена государственная регистрация лицензии на пользование недрами/в государственном реестре работ по геологическому изучению недр зарегистрированы разведочные работы</w:t>
            </w:r>
          </w:p>
        </w:tc>
        <w:tc>
          <w:tcPr>
            <w:tcW w:w="6300" w:type="dxa"/>
            <w:gridSpan w:val="3"/>
          </w:tcPr>
          <w:p w:rsidR="00B04368" w:rsidRDefault="00B04368">
            <w:pPr>
              <w:pStyle w:val="EcoNormal"/>
              <w:jc w:val="center"/>
            </w:pPr>
            <w:r>
              <w:t>Оценка влияния продолжительности работ</w:t>
            </w:r>
          </w:p>
        </w:tc>
      </w:tr>
      <w:tr w:rsidR="00B04368">
        <w:tc>
          <w:tcPr>
            <w:tcW w:w="3302" w:type="dxa"/>
            <w:vMerge/>
          </w:tcPr>
          <w:p w:rsidR="00B04368" w:rsidRDefault="00B04368"/>
        </w:tc>
        <w:tc>
          <w:tcPr>
            <w:tcW w:w="1980" w:type="dxa"/>
          </w:tcPr>
          <w:p w:rsidR="00B04368" w:rsidRDefault="00B04368">
            <w:pPr>
              <w:pStyle w:val="EcoNormal"/>
              <w:jc w:val="center"/>
            </w:pPr>
            <w:r>
              <w:t>поиски и оценка месторождений полезных ископаемых</w:t>
            </w:r>
          </w:p>
        </w:tc>
        <w:tc>
          <w:tcPr>
            <w:tcW w:w="2160" w:type="dxa"/>
          </w:tcPr>
          <w:p w:rsidR="00B04368" w:rsidRDefault="00B04368">
            <w:pPr>
              <w:pStyle w:val="EcoNormal"/>
              <w:jc w:val="center"/>
            </w:pPr>
            <w:r>
              <w:t>разведка полезных ископаемых</w:t>
            </w:r>
          </w:p>
        </w:tc>
        <w:tc>
          <w:tcPr>
            <w:tcW w:w="2160" w:type="dxa"/>
          </w:tcPr>
          <w:p w:rsidR="00B04368" w:rsidRDefault="00B04368">
            <w:pPr>
              <w:pStyle w:val="EcoNormal"/>
              <w:jc w:val="center"/>
            </w:pPr>
            <w:r>
              <w:t>строительство и эксплуатация подземных сооружений, не связанных с добычей полезных ископаемых</w:t>
            </w:r>
          </w:p>
        </w:tc>
      </w:tr>
      <w:tr w:rsidR="00B04368">
        <w:tc>
          <w:tcPr>
            <w:tcW w:w="3302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1-й год</w:t>
            </w:r>
          </w:p>
        </w:tc>
        <w:tc>
          <w:tcPr>
            <w:tcW w:w="1980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0</w:t>
            </w:r>
          </w:p>
        </w:tc>
        <w:tc>
          <w:tcPr>
            <w:tcW w:w="2160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0</w:t>
            </w:r>
          </w:p>
        </w:tc>
        <w:tc>
          <w:tcPr>
            <w:tcW w:w="2160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0</w:t>
            </w:r>
          </w:p>
        </w:tc>
      </w:tr>
      <w:tr w:rsidR="00B04368">
        <w:tc>
          <w:tcPr>
            <w:tcW w:w="3302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2-й год</w:t>
            </w:r>
          </w:p>
        </w:tc>
        <w:tc>
          <w:tcPr>
            <w:tcW w:w="1980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0,05</w:t>
            </w:r>
          </w:p>
        </w:tc>
        <w:tc>
          <w:tcPr>
            <w:tcW w:w="2160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0,07</w:t>
            </w:r>
          </w:p>
        </w:tc>
        <w:tc>
          <w:tcPr>
            <w:tcW w:w="2160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0,05</w:t>
            </w:r>
          </w:p>
        </w:tc>
      </w:tr>
      <w:tr w:rsidR="00B04368">
        <w:tc>
          <w:tcPr>
            <w:tcW w:w="3302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3-й год</w:t>
            </w:r>
          </w:p>
        </w:tc>
        <w:tc>
          <w:tcPr>
            <w:tcW w:w="1980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2160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0,15</w:t>
            </w:r>
          </w:p>
        </w:tc>
        <w:tc>
          <w:tcPr>
            <w:tcW w:w="2160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0,1</w:t>
            </w:r>
          </w:p>
        </w:tc>
      </w:tr>
      <w:tr w:rsidR="00B04368">
        <w:tc>
          <w:tcPr>
            <w:tcW w:w="3302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4-й год</w:t>
            </w:r>
          </w:p>
        </w:tc>
        <w:tc>
          <w:tcPr>
            <w:tcW w:w="1980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0,15</w:t>
            </w:r>
          </w:p>
        </w:tc>
        <w:tc>
          <w:tcPr>
            <w:tcW w:w="2160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2160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0,15</w:t>
            </w:r>
          </w:p>
        </w:tc>
      </w:tr>
    </w:tbl>
    <w:p w:rsidR="00B04368" w:rsidRDefault="00B04368">
      <w:pPr>
        <w:pStyle w:val="EcoNormal"/>
        <w:jc w:val="both"/>
      </w:pPr>
    </w:p>
    <w:p w:rsidR="00B04368" w:rsidRDefault="00B04368">
      <w:pPr>
        <w:pStyle w:val="EcoNormal"/>
        <w:jc w:val="center"/>
        <w:outlineLvl w:val="2"/>
      </w:pPr>
      <w:r>
        <w:t>Продолжительность работ (для лицензий, в отношении</w:t>
      </w:r>
    </w:p>
    <w:p w:rsidR="00B04368" w:rsidRDefault="00B04368">
      <w:pPr>
        <w:pStyle w:val="EcoNormal"/>
        <w:jc w:val="center"/>
      </w:pPr>
      <w:r>
        <w:t>которых установлен предельный срок пользования недрами</w:t>
      </w:r>
    </w:p>
    <w:p w:rsidR="00B04368" w:rsidRDefault="00B04368">
      <w:pPr>
        <w:pStyle w:val="EcoNormal"/>
        <w:jc w:val="center"/>
      </w:pPr>
      <w:r>
        <w:t>для целей геологического изучения 7 лет)</w:t>
      </w:r>
    </w:p>
    <w:p w:rsidR="00B04368" w:rsidRDefault="00B04368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302"/>
        <w:gridCol w:w="1980"/>
        <w:gridCol w:w="2160"/>
        <w:gridCol w:w="2160"/>
      </w:tblGrid>
      <w:tr w:rsidR="00B04368">
        <w:tc>
          <w:tcPr>
            <w:tcW w:w="3302" w:type="dxa"/>
            <w:vMerge w:val="restart"/>
          </w:tcPr>
          <w:p w:rsidR="00B04368" w:rsidRDefault="00B04368">
            <w:pPr>
              <w:pStyle w:val="EcoNormal"/>
              <w:jc w:val="center"/>
            </w:pPr>
            <w:r>
              <w:t xml:space="preserve">Год пользования недрами, исчисленный с квартала, следующего за кварталом, в котором произведена государственная регистрация лицензии на пользование </w:t>
            </w:r>
            <w:r>
              <w:lastRenderedPageBreak/>
              <w:t>недрами/в государственном реестре работ по геологическому изучению недр зарегистрированы разведочные работы</w:t>
            </w:r>
          </w:p>
        </w:tc>
        <w:tc>
          <w:tcPr>
            <w:tcW w:w="6300" w:type="dxa"/>
            <w:gridSpan w:val="3"/>
          </w:tcPr>
          <w:p w:rsidR="00B04368" w:rsidRDefault="00B04368">
            <w:pPr>
              <w:pStyle w:val="EcoNormal"/>
              <w:jc w:val="center"/>
            </w:pPr>
            <w:r>
              <w:lastRenderedPageBreak/>
              <w:t>Оценка влияния продолжительности работ</w:t>
            </w:r>
          </w:p>
        </w:tc>
      </w:tr>
      <w:tr w:rsidR="00B04368">
        <w:tc>
          <w:tcPr>
            <w:tcW w:w="3302" w:type="dxa"/>
            <w:vMerge/>
          </w:tcPr>
          <w:p w:rsidR="00B04368" w:rsidRDefault="00B04368"/>
        </w:tc>
        <w:tc>
          <w:tcPr>
            <w:tcW w:w="1980" w:type="dxa"/>
          </w:tcPr>
          <w:p w:rsidR="00B04368" w:rsidRDefault="00B04368">
            <w:pPr>
              <w:pStyle w:val="EcoNormal"/>
              <w:jc w:val="center"/>
            </w:pPr>
            <w:r>
              <w:t>поиски и оценка месторождений полезных ископаемых</w:t>
            </w:r>
          </w:p>
        </w:tc>
        <w:tc>
          <w:tcPr>
            <w:tcW w:w="2160" w:type="dxa"/>
          </w:tcPr>
          <w:p w:rsidR="00B04368" w:rsidRDefault="00B04368">
            <w:pPr>
              <w:pStyle w:val="EcoNormal"/>
              <w:jc w:val="center"/>
            </w:pPr>
            <w:r>
              <w:t>разведка полезных ископаемых</w:t>
            </w:r>
          </w:p>
        </w:tc>
        <w:tc>
          <w:tcPr>
            <w:tcW w:w="2160" w:type="dxa"/>
          </w:tcPr>
          <w:p w:rsidR="00B04368" w:rsidRDefault="00B04368">
            <w:pPr>
              <w:pStyle w:val="EcoNormal"/>
              <w:jc w:val="center"/>
            </w:pPr>
            <w:r>
              <w:t xml:space="preserve">строительство и эксплуатация подземных сооружений, не связанных с добычей </w:t>
            </w:r>
            <w:r>
              <w:lastRenderedPageBreak/>
              <w:t>полезных ископаемых</w:t>
            </w:r>
          </w:p>
        </w:tc>
      </w:tr>
      <w:tr w:rsidR="00B04368">
        <w:tc>
          <w:tcPr>
            <w:tcW w:w="3302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lastRenderedPageBreak/>
              <w:t>1-й год</w:t>
            </w:r>
          </w:p>
        </w:tc>
        <w:tc>
          <w:tcPr>
            <w:tcW w:w="1980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0</w:t>
            </w:r>
          </w:p>
        </w:tc>
        <w:tc>
          <w:tcPr>
            <w:tcW w:w="2160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0</w:t>
            </w:r>
          </w:p>
        </w:tc>
        <w:tc>
          <w:tcPr>
            <w:tcW w:w="2160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0</w:t>
            </w:r>
          </w:p>
        </w:tc>
      </w:tr>
      <w:tr w:rsidR="00B04368">
        <w:tc>
          <w:tcPr>
            <w:tcW w:w="3302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2-й год</w:t>
            </w:r>
          </w:p>
        </w:tc>
        <w:tc>
          <w:tcPr>
            <w:tcW w:w="1980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0,03</w:t>
            </w:r>
          </w:p>
        </w:tc>
        <w:tc>
          <w:tcPr>
            <w:tcW w:w="2160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0,07</w:t>
            </w:r>
          </w:p>
        </w:tc>
        <w:tc>
          <w:tcPr>
            <w:tcW w:w="2160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0,03</w:t>
            </w:r>
          </w:p>
        </w:tc>
      </w:tr>
      <w:tr w:rsidR="00B04368">
        <w:tc>
          <w:tcPr>
            <w:tcW w:w="3302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3-й год</w:t>
            </w:r>
          </w:p>
        </w:tc>
        <w:tc>
          <w:tcPr>
            <w:tcW w:w="1980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0,06</w:t>
            </w:r>
          </w:p>
        </w:tc>
        <w:tc>
          <w:tcPr>
            <w:tcW w:w="2160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0,15</w:t>
            </w:r>
          </w:p>
        </w:tc>
        <w:tc>
          <w:tcPr>
            <w:tcW w:w="2160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0,06</w:t>
            </w:r>
          </w:p>
        </w:tc>
      </w:tr>
      <w:tr w:rsidR="00B04368">
        <w:tc>
          <w:tcPr>
            <w:tcW w:w="3302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4-й год</w:t>
            </w:r>
          </w:p>
        </w:tc>
        <w:tc>
          <w:tcPr>
            <w:tcW w:w="1980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0,09</w:t>
            </w:r>
          </w:p>
        </w:tc>
        <w:tc>
          <w:tcPr>
            <w:tcW w:w="2160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2160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0,09</w:t>
            </w:r>
          </w:p>
        </w:tc>
      </w:tr>
      <w:tr w:rsidR="00B04368">
        <w:tc>
          <w:tcPr>
            <w:tcW w:w="3302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5-й год</w:t>
            </w:r>
          </w:p>
        </w:tc>
        <w:tc>
          <w:tcPr>
            <w:tcW w:w="1980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0,12</w:t>
            </w:r>
          </w:p>
        </w:tc>
        <w:tc>
          <w:tcPr>
            <w:tcW w:w="2160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2160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0,12</w:t>
            </w:r>
          </w:p>
        </w:tc>
      </w:tr>
      <w:tr w:rsidR="00B04368">
        <w:tc>
          <w:tcPr>
            <w:tcW w:w="3302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6-й год</w:t>
            </w:r>
          </w:p>
        </w:tc>
        <w:tc>
          <w:tcPr>
            <w:tcW w:w="1980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0,15</w:t>
            </w:r>
          </w:p>
        </w:tc>
        <w:tc>
          <w:tcPr>
            <w:tcW w:w="2160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2160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0,15</w:t>
            </w:r>
          </w:p>
        </w:tc>
      </w:tr>
    </w:tbl>
    <w:p w:rsidR="00B04368" w:rsidRDefault="00B04368">
      <w:pPr>
        <w:pStyle w:val="EcoNormal"/>
        <w:jc w:val="both"/>
      </w:pPr>
    </w:p>
    <w:p w:rsidR="00B04368" w:rsidRDefault="00B04368">
      <w:pPr>
        <w:pStyle w:val="EcoNormal"/>
        <w:jc w:val="center"/>
        <w:outlineLvl w:val="2"/>
      </w:pPr>
      <w:r>
        <w:t>Степень геологической изученности и степень риска</w:t>
      </w:r>
    </w:p>
    <w:p w:rsidR="00B04368" w:rsidRDefault="00B04368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915"/>
        <w:gridCol w:w="5527"/>
        <w:gridCol w:w="2160"/>
      </w:tblGrid>
      <w:tr w:rsidR="00B04368">
        <w:tc>
          <w:tcPr>
            <w:tcW w:w="1915" w:type="dxa"/>
          </w:tcPr>
          <w:p w:rsidR="00B04368" w:rsidRDefault="00B04368">
            <w:pPr>
              <w:pStyle w:val="EcoNormal"/>
              <w:jc w:val="center"/>
            </w:pPr>
            <w:r>
              <w:t>Стадии работ</w:t>
            </w:r>
          </w:p>
        </w:tc>
        <w:tc>
          <w:tcPr>
            <w:tcW w:w="5527" w:type="dxa"/>
          </w:tcPr>
          <w:p w:rsidR="00B04368" w:rsidRDefault="00B04368">
            <w:pPr>
              <w:pStyle w:val="EcoNormal"/>
              <w:jc w:val="center"/>
            </w:pPr>
            <w:r>
              <w:t>Факторы</w:t>
            </w:r>
          </w:p>
        </w:tc>
        <w:tc>
          <w:tcPr>
            <w:tcW w:w="2160" w:type="dxa"/>
          </w:tcPr>
          <w:p w:rsidR="00B04368" w:rsidRDefault="00B04368">
            <w:pPr>
              <w:pStyle w:val="EcoNormal"/>
              <w:jc w:val="center"/>
            </w:pPr>
            <w:r>
              <w:t>Оценка влияния фактора</w:t>
            </w:r>
          </w:p>
        </w:tc>
      </w:tr>
      <w:tr w:rsidR="00B04368">
        <w:tc>
          <w:tcPr>
            <w:tcW w:w="1915" w:type="dxa"/>
            <w:vMerge w:val="restart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Поиски и оценка</w:t>
            </w:r>
          </w:p>
        </w:tc>
        <w:tc>
          <w:tcPr>
            <w:tcW w:w="5527" w:type="dxa"/>
          </w:tcPr>
          <w:p w:rsidR="00B04368" w:rsidRDefault="00B04368">
            <w:pPr>
              <w:pStyle w:val="EcoNormal"/>
              <w:jc w:val="center"/>
            </w:pPr>
            <w:r>
              <w:t>Геологическая изученность:</w:t>
            </w:r>
          </w:p>
        </w:tc>
        <w:tc>
          <w:tcPr>
            <w:tcW w:w="2160" w:type="dxa"/>
          </w:tcPr>
          <w:p w:rsidR="00B04368" w:rsidRDefault="00B04368">
            <w:pPr>
              <w:pStyle w:val="EcoNormal"/>
            </w:pPr>
          </w:p>
        </w:tc>
      </w:tr>
      <w:tr w:rsidR="00B04368">
        <w:tc>
          <w:tcPr>
            <w:tcW w:w="1915" w:type="dxa"/>
            <w:vMerge/>
          </w:tcPr>
          <w:p w:rsidR="00B04368" w:rsidRDefault="00B04368"/>
        </w:tc>
        <w:tc>
          <w:tcPr>
            <w:tcW w:w="5527" w:type="dxa"/>
          </w:tcPr>
          <w:p w:rsidR="00B04368" w:rsidRDefault="00B04368">
            <w:pPr>
              <w:pStyle w:val="EcoNormal"/>
              <w:jc w:val="center"/>
            </w:pPr>
            <w:r>
              <w:t>Низкая (отсутствуют геологические и геофизические карты масштаба 1:50000 - 1:200000)</w:t>
            </w:r>
          </w:p>
        </w:tc>
        <w:tc>
          <w:tcPr>
            <w:tcW w:w="2160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0</w:t>
            </w:r>
          </w:p>
        </w:tc>
      </w:tr>
      <w:tr w:rsidR="00B04368">
        <w:tc>
          <w:tcPr>
            <w:tcW w:w="1915" w:type="dxa"/>
            <w:vMerge/>
          </w:tcPr>
          <w:p w:rsidR="00B04368" w:rsidRDefault="00B04368"/>
        </w:tc>
        <w:tc>
          <w:tcPr>
            <w:tcW w:w="5527" w:type="dxa"/>
          </w:tcPr>
          <w:p w:rsidR="00B04368" w:rsidRDefault="00B04368">
            <w:pPr>
              <w:pStyle w:val="EcoNormal"/>
              <w:jc w:val="center"/>
            </w:pPr>
            <w:r>
              <w:t>Средняя (имеются геологические и геофизические карты масштаба 1:50000 - 1:200000)</w:t>
            </w:r>
          </w:p>
        </w:tc>
        <w:tc>
          <w:tcPr>
            <w:tcW w:w="2160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0,10</w:t>
            </w:r>
          </w:p>
        </w:tc>
      </w:tr>
      <w:tr w:rsidR="00B04368">
        <w:tc>
          <w:tcPr>
            <w:tcW w:w="1915" w:type="dxa"/>
            <w:vMerge/>
          </w:tcPr>
          <w:p w:rsidR="00B04368" w:rsidRDefault="00B04368"/>
        </w:tc>
        <w:tc>
          <w:tcPr>
            <w:tcW w:w="5527" w:type="dxa"/>
          </w:tcPr>
          <w:p w:rsidR="00B04368" w:rsidRDefault="00B04368">
            <w:pPr>
              <w:pStyle w:val="EcoNormal"/>
              <w:jc w:val="center"/>
            </w:pPr>
            <w:r>
              <w:t xml:space="preserve">Высокая (имеются геологические и геофизические карты масштаба 1:50000 - 1:200000, результаты ранее проходивших поисковых, поисково-оценочных, разведочных работ на данный вид полезных </w:t>
            </w:r>
            <w:r>
              <w:lastRenderedPageBreak/>
              <w:t>ископаемых)</w:t>
            </w:r>
          </w:p>
        </w:tc>
        <w:tc>
          <w:tcPr>
            <w:tcW w:w="2160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lastRenderedPageBreak/>
              <w:t>0,30</w:t>
            </w:r>
          </w:p>
        </w:tc>
      </w:tr>
      <w:tr w:rsidR="00B04368">
        <w:tc>
          <w:tcPr>
            <w:tcW w:w="1915" w:type="dxa"/>
            <w:vMerge/>
          </w:tcPr>
          <w:p w:rsidR="00B04368" w:rsidRDefault="00B04368"/>
        </w:tc>
        <w:tc>
          <w:tcPr>
            <w:tcW w:w="5527" w:type="dxa"/>
          </w:tcPr>
          <w:p w:rsidR="00B04368" w:rsidRDefault="00B04368">
            <w:pPr>
              <w:pStyle w:val="EcoNormal"/>
              <w:jc w:val="center"/>
            </w:pPr>
            <w:r>
              <w:t>Прогнозные ресурсы на данный вид полезного ископаемого:</w:t>
            </w:r>
          </w:p>
        </w:tc>
        <w:tc>
          <w:tcPr>
            <w:tcW w:w="2160" w:type="dxa"/>
            <w:vAlign w:val="center"/>
          </w:tcPr>
          <w:p w:rsidR="00B04368" w:rsidRDefault="00B04368">
            <w:pPr>
              <w:pStyle w:val="EcoNormal"/>
            </w:pPr>
          </w:p>
        </w:tc>
      </w:tr>
      <w:tr w:rsidR="00B04368">
        <w:tc>
          <w:tcPr>
            <w:tcW w:w="1915" w:type="dxa"/>
            <w:vMerge/>
          </w:tcPr>
          <w:p w:rsidR="00B04368" w:rsidRDefault="00B04368"/>
        </w:tc>
        <w:tc>
          <w:tcPr>
            <w:tcW w:w="5527" w:type="dxa"/>
          </w:tcPr>
          <w:p w:rsidR="00B04368" w:rsidRDefault="00B04368">
            <w:pPr>
              <w:pStyle w:val="EcoNormal"/>
              <w:jc w:val="center"/>
            </w:pPr>
            <w:r>
              <w:t>- отсутствуют</w:t>
            </w:r>
          </w:p>
        </w:tc>
        <w:tc>
          <w:tcPr>
            <w:tcW w:w="2160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0</w:t>
            </w:r>
          </w:p>
        </w:tc>
      </w:tr>
      <w:tr w:rsidR="00B04368">
        <w:tc>
          <w:tcPr>
            <w:tcW w:w="1915" w:type="dxa"/>
            <w:vMerge/>
          </w:tcPr>
          <w:p w:rsidR="00B04368" w:rsidRDefault="00B04368"/>
        </w:tc>
        <w:tc>
          <w:tcPr>
            <w:tcW w:w="5527" w:type="dxa"/>
          </w:tcPr>
          <w:p w:rsidR="00B04368" w:rsidRDefault="00B04368">
            <w:pPr>
              <w:pStyle w:val="EcoNormal"/>
              <w:jc w:val="center"/>
            </w:pPr>
            <w:r>
              <w:t>- имеются прогнозные ресурсы категорий P1 и P2 (d1лок и d2)</w:t>
            </w:r>
          </w:p>
        </w:tc>
        <w:tc>
          <w:tcPr>
            <w:tcW w:w="2160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0,30</w:t>
            </w:r>
          </w:p>
        </w:tc>
      </w:tr>
      <w:tr w:rsidR="00B04368">
        <w:tc>
          <w:tcPr>
            <w:tcW w:w="1915" w:type="dxa"/>
            <w:vMerge w:val="restart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Разведка (полезные ископаемые, за исключением углеводородного сырья)</w:t>
            </w:r>
          </w:p>
        </w:tc>
        <w:tc>
          <w:tcPr>
            <w:tcW w:w="5527" w:type="dxa"/>
          </w:tcPr>
          <w:p w:rsidR="00B04368" w:rsidRDefault="00B04368">
            <w:pPr>
              <w:pStyle w:val="EcoNormal"/>
              <w:jc w:val="center"/>
            </w:pPr>
            <w:r>
              <w:t>Группа сложности месторождения в соответствии с действующими классификациями запасов по видам полезных ископаемых</w:t>
            </w:r>
          </w:p>
        </w:tc>
        <w:tc>
          <w:tcPr>
            <w:tcW w:w="2160" w:type="dxa"/>
            <w:vAlign w:val="center"/>
          </w:tcPr>
          <w:p w:rsidR="00B04368" w:rsidRDefault="00B04368">
            <w:pPr>
              <w:pStyle w:val="EcoNormal"/>
            </w:pPr>
          </w:p>
        </w:tc>
      </w:tr>
      <w:tr w:rsidR="00B04368">
        <w:tc>
          <w:tcPr>
            <w:tcW w:w="1915" w:type="dxa"/>
            <w:vMerge/>
          </w:tcPr>
          <w:p w:rsidR="00B04368" w:rsidRDefault="00B04368"/>
        </w:tc>
        <w:tc>
          <w:tcPr>
            <w:tcW w:w="5527" w:type="dxa"/>
          </w:tcPr>
          <w:p w:rsidR="00B04368" w:rsidRDefault="00B04368">
            <w:pPr>
              <w:pStyle w:val="EcoNormal"/>
              <w:jc w:val="center"/>
            </w:pPr>
            <w:r>
              <w:t>1 группа</w:t>
            </w:r>
          </w:p>
        </w:tc>
        <w:tc>
          <w:tcPr>
            <w:tcW w:w="2160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0,60</w:t>
            </w:r>
          </w:p>
        </w:tc>
      </w:tr>
      <w:tr w:rsidR="00B04368">
        <w:tc>
          <w:tcPr>
            <w:tcW w:w="1915" w:type="dxa"/>
            <w:vMerge/>
          </w:tcPr>
          <w:p w:rsidR="00B04368" w:rsidRDefault="00B04368"/>
        </w:tc>
        <w:tc>
          <w:tcPr>
            <w:tcW w:w="5527" w:type="dxa"/>
          </w:tcPr>
          <w:p w:rsidR="00B04368" w:rsidRDefault="00B04368">
            <w:pPr>
              <w:pStyle w:val="EcoNormal"/>
              <w:jc w:val="center"/>
            </w:pPr>
            <w:r>
              <w:t>2 группа</w:t>
            </w:r>
          </w:p>
        </w:tc>
        <w:tc>
          <w:tcPr>
            <w:tcW w:w="2160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0,40</w:t>
            </w:r>
          </w:p>
        </w:tc>
      </w:tr>
      <w:tr w:rsidR="00B04368">
        <w:tc>
          <w:tcPr>
            <w:tcW w:w="1915" w:type="dxa"/>
            <w:vMerge/>
          </w:tcPr>
          <w:p w:rsidR="00B04368" w:rsidRDefault="00B04368"/>
        </w:tc>
        <w:tc>
          <w:tcPr>
            <w:tcW w:w="5527" w:type="dxa"/>
          </w:tcPr>
          <w:p w:rsidR="00B04368" w:rsidRDefault="00B04368">
            <w:pPr>
              <w:pStyle w:val="EcoNormal"/>
              <w:jc w:val="center"/>
            </w:pPr>
            <w:r>
              <w:t>3 группа</w:t>
            </w:r>
          </w:p>
        </w:tc>
        <w:tc>
          <w:tcPr>
            <w:tcW w:w="2160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0,20</w:t>
            </w:r>
          </w:p>
        </w:tc>
      </w:tr>
      <w:tr w:rsidR="00B04368">
        <w:tc>
          <w:tcPr>
            <w:tcW w:w="1915" w:type="dxa"/>
            <w:vMerge/>
          </w:tcPr>
          <w:p w:rsidR="00B04368" w:rsidRDefault="00B04368"/>
        </w:tc>
        <w:tc>
          <w:tcPr>
            <w:tcW w:w="5527" w:type="dxa"/>
          </w:tcPr>
          <w:p w:rsidR="00B04368" w:rsidRDefault="00B04368">
            <w:pPr>
              <w:pStyle w:val="EcoNormal"/>
              <w:jc w:val="center"/>
            </w:pPr>
            <w:r>
              <w:t>4 группа</w:t>
            </w:r>
          </w:p>
        </w:tc>
        <w:tc>
          <w:tcPr>
            <w:tcW w:w="2160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0</w:t>
            </w:r>
          </w:p>
        </w:tc>
      </w:tr>
      <w:tr w:rsidR="00B04368">
        <w:tc>
          <w:tcPr>
            <w:tcW w:w="1915" w:type="dxa"/>
            <w:vMerge w:val="restart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Разведка (углеводородное сырье)</w:t>
            </w:r>
          </w:p>
        </w:tc>
        <w:tc>
          <w:tcPr>
            <w:tcW w:w="5527" w:type="dxa"/>
          </w:tcPr>
          <w:p w:rsidR="00B04368" w:rsidRDefault="00B04368">
            <w:pPr>
              <w:pStyle w:val="EcoNormal"/>
              <w:jc w:val="center"/>
            </w:pPr>
            <w:r>
              <w:t>Группа сложности месторождения в соответствии с действующими классификациями запасов по видам полезных ископаемых</w:t>
            </w:r>
          </w:p>
        </w:tc>
        <w:tc>
          <w:tcPr>
            <w:tcW w:w="2160" w:type="dxa"/>
            <w:vAlign w:val="center"/>
          </w:tcPr>
          <w:p w:rsidR="00B04368" w:rsidRDefault="00B04368">
            <w:pPr>
              <w:pStyle w:val="EcoNormal"/>
            </w:pPr>
          </w:p>
        </w:tc>
      </w:tr>
      <w:tr w:rsidR="00B04368">
        <w:tc>
          <w:tcPr>
            <w:tcW w:w="1915" w:type="dxa"/>
            <w:vMerge/>
          </w:tcPr>
          <w:p w:rsidR="00B04368" w:rsidRDefault="00B04368"/>
        </w:tc>
        <w:tc>
          <w:tcPr>
            <w:tcW w:w="5527" w:type="dxa"/>
          </w:tcPr>
          <w:p w:rsidR="00B04368" w:rsidRDefault="00B04368">
            <w:pPr>
              <w:pStyle w:val="EcoNormal"/>
              <w:jc w:val="center"/>
            </w:pPr>
            <w:r>
              <w:t xml:space="preserve">1 группа (простого строения - однофазные залежи, связанные с ненарушенными или слабо нарушенными структурами, продуктивные пласты характеризуются выдержанностью толщин и </w:t>
            </w:r>
            <w:proofErr w:type="spellStart"/>
            <w:r>
              <w:t>коллекторских</w:t>
            </w:r>
            <w:proofErr w:type="spellEnd"/>
            <w:r>
              <w:t xml:space="preserve"> свойств по площади и разрезу)</w:t>
            </w:r>
          </w:p>
        </w:tc>
        <w:tc>
          <w:tcPr>
            <w:tcW w:w="2160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0,60</w:t>
            </w:r>
          </w:p>
        </w:tc>
      </w:tr>
      <w:tr w:rsidR="00B04368">
        <w:tc>
          <w:tcPr>
            <w:tcW w:w="1915" w:type="dxa"/>
            <w:vMerge/>
          </w:tcPr>
          <w:p w:rsidR="00B04368" w:rsidRDefault="00B04368"/>
        </w:tc>
        <w:tc>
          <w:tcPr>
            <w:tcW w:w="5527" w:type="dxa"/>
          </w:tcPr>
          <w:p w:rsidR="00B04368" w:rsidRDefault="00B04368">
            <w:pPr>
              <w:pStyle w:val="EcoNormal"/>
              <w:jc w:val="center"/>
            </w:pPr>
            <w:r>
              <w:t xml:space="preserve">2 группа (сложного строения - одно- и двухфазные залежи, характеризующиеся невыдержанностью толщин и </w:t>
            </w:r>
            <w:proofErr w:type="spellStart"/>
            <w:r>
              <w:t>коллекторских</w:t>
            </w:r>
            <w:proofErr w:type="spellEnd"/>
            <w:r>
              <w:t xml:space="preserve"> свойств продуктивных пластов по площади и разрезу или наличием литологических </w:t>
            </w:r>
            <w:r>
              <w:lastRenderedPageBreak/>
              <w:t>замещений коллекторов непроницаемыми породами, либо тектонических нарушений)</w:t>
            </w:r>
          </w:p>
        </w:tc>
        <w:tc>
          <w:tcPr>
            <w:tcW w:w="2160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lastRenderedPageBreak/>
              <w:t>0,30</w:t>
            </w:r>
          </w:p>
        </w:tc>
      </w:tr>
      <w:tr w:rsidR="00B04368">
        <w:tc>
          <w:tcPr>
            <w:tcW w:w="1915" w:type="dxa"/>
            <w:vMerge/>
          </w:tcPr>
          <w:p w:rsidR="00B04368" w:rsidRDefault="00B04368"/>
        </w:tc>
        <w:tc>
          <w:tcPr>
            <w:tcW w:w="5527" w:type="dxa"/>
          </w:tcPr>
          <w:p w:rsidR="00B04368" w:rsidRDefault="00B04368">
            <w:pPr>
              <w:pStyle w:val="EcoNormal"/>
              <w:jc w:val="center"/>
            </w:pPr>
            <w:r>
              <w:t xml:space="preserve">3 группа (очень сложного строения - одно- и двухфазные залежи, характеризующиеся как наличием литологических замещений или тектонических нарушений, так и невыдержанностью толщин и </w:t>
            </w:r>
            <w:proofErr w:type="spellStart"/>
            <w:r>
              <w:t>коллекторских</w:t>
            </w:r>
            <w:proofErr w:type="spellEnd"/>
            <w:r>
              <w:t xml:space="preserve"> свойств продуктивных пластов)</w:t>
            </w:r>
          </w:p>
        </w:tc>
        <w:tc>
          <w:tcPr>
            <w:tcW w:w="2160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0</w:t>
            </w:r>
          </w:p>
        </w:tc>
      </w:tr>
      <w:tr w:rsidR="00B04368">
        <w:tc>
          <w:tcPr>
            <w:tcW w:w="1915" w:type="dxa"/>
            <w:vMerge w:val="restart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Строительство и эксплуатация подземных сооружений, не связанных с добычей полезных ископаемых</w:t>
            </w:r>
          </w:p>
        </w:tc>
        <w:tc>
          <w:tcPr>
            <w:tcW w:w="5527" w:type="dxa"/>
          </w:tcPr>
          <w:p w:rsidR="00B04368" w:rsidRDefault="00B04368">
            <w:pPr>
              <w:pStyle w:val="EcoNormal"/>
              <w:jc w:val="center"/>
            </w:pPr>
            <w:r>
              <w:t>Горно-геологические и инженерно-геологические условия</w:t>
            </w:r>
          </w:p>
        </w:tc>
        <w:tc>
          <w:tcPr>
            <w:tcW w:w="2160" w:type="dxa"/>
          </w:tcPr>
          <w:p w:rsidR="00B04368" w:rsidRDefault="00B04368">
            <w:pPr>
              <w:pStyle w:val="EcoNormal"/>
            </w:pPr>
          </w:p>
        </w:tc>
      </w:tr>
      <w:tr w:rsidR="00B04368">
        <w:tc>
          <w:tcPr>
            <w:tcW w:w="1915" w:type="dxa"/>
            <w:vMerge/>
          </w:tcPr>
          <w:p w:rsidR="00B04368" w:rsidRDefault="00B04368"/>
        </w:tc>
        <w:tc>
          <w:tcPr>
            <w:tcW w:w="5527" w:type="dxa"/>
          </w:tcPr>
          <w:p w:rsidR="00B04368" w:rsidRDefault="00B04368">
            <w:pPr>
              <w:pStyle w:val="EcoNormal"/>
              <w:jc w:val="center"/>
            </w:pPr>
            <w:r>
              <w:t>Простые (глубина работ до 300 м, породы устойчивые, не склонные к самовозгоранию, не опасны по силикозу, газу и пыли, по содержанию радионуклидов отвечают 1 классу; при строительстве будут применяться типовые технологии горных работ, не требуется специальных мер по обеспечению устойчивости кровли и поддержанию выработанного пространства, район работ сейсмически безопасен - опасность по шкале сейсмической интенсивности MSK-64 1 - 5 баллов)</w:t>
            </w:r>
          </w:p>
        </w:tc>
        <w:tc>
          <w:tcPr>
            <w:tcW w:w="2160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0,2</w:t>
            </w:r>
          </w:p>
        </w:tc>
      </w:tr>
      <w:tr w:rsidR="00B04368">
        <w:tc>
          <w:tcPr>
            <w:tcW w:w="1915" w:type="dxa"/>
            <w:vMerge/>
          </w:tcPr>
          <w:p w:rsidR="00B04368" w:rsidRDefault="00B04368"/>
        </w:tc>
        <w:tc>
          <w:tcPr>
            <w:tcW w:w="5527" w:type="dxa"/>
          </w:tcPr>
          <w:p w:rsidR="00B04368" w:rsidRDefault="00B04368">
            <w:pPr>
              <w:pStyle w:val="EcoNormal"/>
              <w:jc w:val="center"/>
            </w:pPr>
            <w:r>
              <w:t>Средней сложности (глубина работ до 600 м, породы устойчивые и слабоустойчивые, не склонные к самовозгоранию, не опасны по силикозу, газу и пыли, по содержанию радионуклидов отвечают 1 - 2 классу; при строительстве и эксплуатации на отдельных участках требуется применение специальных мер по обеспечению устойчивости кровли и выработанного пространства, сейсмическая опасность района работ по шкале сейсмической интенсивности MSK-64 5 - 7 баллов)</w:t>
            </w:r>
          </w:p>
        </w:tc>
        <w:tc>
          <w:tcPr>
            <w:tcW w:w="2160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0,1</w:t>
            </w:r>
          </w:p>
        </w:tc>
      </w:tr>
      <w:tr w:rsidR="00B04368">
        <w:tc>
          <w:tcPr>
            <w:tcW w:w="1915" w:type="dxa"/>
            <w:vMerge/>
          </w:tcPr>
          <w:p w:rsidR="00B04368" w:rsidRDefault="00B04368"/>
        </w:tc>
        <w:tc>
          <w:tcPr>
            <w:tcW w:w="5527" w:type="dxa"/>
          </w:tcPr>
          <w:p w:rsidR="00B04368" w:rsidRDefault="00B04368">
            <w:pPr>
              <w:pStyle w:val="EcoNormal"/>
              <w:jc w:val="center"/>
            </w:pPr>
            <w:r>
              <w:t xml:space="preserve">Весьма сложные (глубина работ более 600 м, породы неустойчивые, склонные к самовозгоранию, </w:t>
            </w:r>
            <w:proofErr w:type="spellStart"/>
            <w:r>
              <w:t>силикозоопасные</w:t>
            </w:r>
            <w:proofErr w:type="spellEnd"/>
            <w:r>
              <w:t xml:space="preserve">, опасные по газу и пыли, по </w:t>
            </w:r>
            <w:r>
              <w:lastRenderedPageBreak/>
              <w:t>содержанию радионуклидов относятся к 3 классу, сейсмическая опасность района работ по шкале сейсмической интенсивности MSK-64 выше 7 баллов)</w:t>
            </w:r>
          </w:p>
        </w:tc>
        <w:tc>
          <w:tcPr>
            <w:tcW w:w="2160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lastRenderedPageBreak/>
              <w:t>0</w:t>
            </w:r>
          </w:p>
        </w:tc>
      </w:tr>
      <w:tr w:rsidR="00B04368">
        <w:tc>
          <w:tcPr>
            <w:tcW w:w="1915" w:type="dxa"/>
            <w:vMerge/>
          </w:tcPr>
          <w:p w:rsidR="00B04368" w:rsidRDefault="00B04368"/>
        </w:tc>
        <w:tc>
          <w:tcPr>
            <w:tcW w:w="5527" w:type="dxa"/>
          </w:tcPr>
          <w:p w:rsidR="00B04368" w:rsidRDefault="00B04368">
            <w:pPr>
              <w:pStyle w:val="EcoNormal"/>
              <w:jc w:val="center"/>
            </w:pPr>
            <w:r>
              <w:t>Гидрогеологические условия</w:t>
            </w:r>
          </w:p>
        </w:tc>
        <w:tc>
          <w:tcPr>
            <w:tcW w:w="2160" w:type="dxa"/>
            <w:vAlign w:val="center"/>
          </w:tcPr>
          <w:p w:rsidR="00B04368" w:rsidRDefault="00B04368">
            <w:pPr>
              <w:pStyle w:val="EcoNormal"/>
            </w:pPr>
          </w:p>
        </w:tc>
      </w:tr>
      <w:tr w:rsidR="00B04368">
        <w:tc>
          <w:tcPr>
            <w:tcW w:w="1915" w:type="dxa"/>
            <w:vMerge/>
          </w:tcPr>
          <w:p w:rsidR="00B04368" w:rsidRDefault="00B04368"/>
        </w:tc>
        <w:tc>
          <w:tcPr>
            <w:tcW w:w="5527" w:type="dxa"/>
          </w:tcPr>
          <w:p w:rsidR="00B04368" w:rsidRDefault="00B04368">
            <w:pPr>
              <w:pStyle w:val="EcoNormal"/>
              <w:jc w:val="center"/>
            </w:pPr>
            <w:r>
              <w:t>Простые (</w:t>
            </w:r>
            <w:proofErr w:type="spellStart"/>
            <w:r>
              <w:t>водопритоки</w:t>
            </w:r>
            <w:proofErr w:type="spellEnd"/>
            <w:r>
              <w:t xml:space="preserve"> в выработки до 600 куб. м/ч, специальных осушительных мероприятий и специальной очистки подземных вод не требуется)</w:t>
            </w:r>
          </w:p>
        </w:tc>
        <w:tc>
          <w:tcPr>
            <w:tcW w:w="2160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0,2</w:t>
            </w:r>
          </w:p>
        </w:tc>
      </w:tr>
      <w:tr w:rsidR="00B04368">
        <w:tc>
          <w:tcPr>
            <w:tcW w:w="1915" w:type="dxa"/>
            <w:vMerge/>
          </w:tcPr>
          <w:p w:rsidR="00B04368" w:rsidRDefault="00B04368"/>
        </w:tc>
        <w:tc>
          <w:tcPr>
            <w:tcW w:w="5527" w:type="dxa"/>
          </w:tcPr>
          <w:p w:rsidR="00B04368" w:rsidRDefault="00B04368">
            <w:pPr>
              <w:pStyle w:val="EcoNormal"/>
              <w:jc w:val="center"/>
            </w:pPr>
            <w:r>
              <w:t>Средней сложности (</w:t>
            </w:r>
            <w:proofErr w:type="spellStart"/>
            <w:r>
              <w:t>водопритоки</w:t>
            </w:r>
            <w:proofErr w:type="spellEnd"/>
            <w:r>
              <w:t xml:space="preserve"> в выработки 600 - 2000 тыс. куб. м/ч, необходимо проведение опережающих мер по осушению отдельных участков, сброс вод из выработок может осуществляться без специальных очистителей с применением отстойников)</w:t>
            </w:r>
          </w:p>
        </w:tc>
        <w:tc>
          <w:tcPr>
            <w:tcW w:w="2160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0,1</w:t>
            </w:r>
          </w:p>
        </w:tc>
      </w:tr>
      <w:tr w:rsidR="00B04368">
        <w:tc>
          <w:tcPr>
            <w:tcW w:w="1915" w:type="dxa"/>
            <w:vMerge/>
          </w:tcPr>
          <w:p w:rsidR="00B04368" w:rsidRDefault="00B04368"/>
        </w:tc>
        <w:tc>
          <w:tcPr>
            <w:tcW w:w="5527" w:type="dxa"/>
          </w:tcPr>
          <w:p w:rsidR="00B04368" w:rsidRDefault="00B04368">
            <w:pPr>
              <w:pStyle w:val="EcoNormal"/>
              <w:jc w:val="center"/>
            </w:pPr>
            <w:r>
              <w:t xml:space="preserve">Весьма сложные (наличие комплекса осложняющих факторов: интенсивная тектоническая </w:t>
            </w:r>
            <w:proofErr w:type="spellStart"/>
            <w:r>
              <w:t>нарушенность</w:t>
            </w:r>
            <w:proofErr w:type="spellEnd"/>
            <w:r>
              <w:t xml:space="preserve">, наличие карста, тесной гидродинамической связи поверхностных и подземных вод, </w:t>
            </w:r>
            <w:proofErr w:type="spellStart"/>
            <w:r>
              <w:t>водопритоки</w:t>
            </w:r>
            <w:proofErr w:type="spellEnd"/>
            <w:r>
              <w:t xml:space="preserve"> в выработки более 2000 куб. м/ч)</w:t>
            </w:r>
          </w:p>
        </w:tc>
        <w:tc>
          <w:tcPr>
            <w:tcW w:w="2160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0</w:t>
            </w:r>
          </w:p>
        </w:tc>
      </w:tr>
    </w:tbl>
    <w:p w:rsidR="00B04368" w:rsidRDefault="00B04368">
      <w:pPr>
        <w:pStyle w:val="EcoNormal"/>
        <w:jc w:val="both"/>
      </w:pPr>
    </w:p>
    <w:p w:rsidR="00B04368" w:rsidRDefault="00B04368">
      <w:pPr>
        <w:pStyle w:val="EcoNormal"/>
        <w:jc w:val="both"/>
      </w:pPr>
    </w:p>
    <w:p w:rsidR="00B04368" w:rsidRDefault="00B04368">
      <w:pPr>
        <w:pStyle w:val="EcoNormal"/>
        <w:jc w:val="both"/>
      </w:pPr>
    </w:p>
    <w:p w:rsidR="00B04368" w:rsidRDefault="00B04368">
      <w:pPr>
        <w:pStyle w:val="EcoNormal"/>
        <w:jc w:val="both"/>
      </w:pPr>
    </w:p>
    <w:p w:rsidR="00B04368" w:rsidRDefault="00B04368">
      <w:pPr>
        <w:pStyle w:val="EcoNormal"/>
        <w:jc w:val="both"/>
      </w:pPr>
    </w:p>
    <w:p w:rsidR="00B04368" w:rsidRDefault="00B04368">
      <w:pPr>
        <w:pStyle w:val="EcoNormal"/>
        <w:jc w:val="right"/>
        <w:outlineLvl w:val="1"/>
      </w:pPr>
      <w:r>
        <w:t>Приложение N 2</w:t>
      </w:r>
    </w:p>
    <w:p w:rsidR="00B04368" w:rsidRDefault="00B04368">
      <w:pPr>
        <w:pStyle w:val="EcoNormal"/>
        <w:jc w:val="right"/>
      </w:pPr>
      <w:r>
        <w:t>к Порядку определения конкретных</w:t>
      </w:r>
    </w:p>
    <w:p w:rsidR="00B04368" w:rsidRDefault="00B04368">
      <w:pPr>
        <w:pStyle w:val="EcoNormal"/>
        <w:jc w:val="right"/>
      </w:pPr>
      <w:r>
        <w:t>размеров ставок регулярных</w:t>
      </w:r>
    </w:p>
    <w:p w:rsidR="00B04368" w:rsidRDefault="00B04368">
      <w:pPr>
        <w:pStyle w:val="EcoNormal"/>
        <w:jc w:val="right"/>
      </w:pPr>
      <w:r>
        <w:t>платежей за пользование недрами</w:t>
      </w:r>
    </w:p>
    <w:p w:rsidR="00B04368" w:rsidRDefault="00B04368">
      <w:pPr>
        <w:pStyle w:val="EcoNormal"/>
        <w:jc w:val="both"/>
      </w:pPr>
    </w:p>
    <w:p w:rsidR="00B04368" w:rsidRDefault="00B04368">
      <w:pPr>
        <w:pStyle w:val="EcoNormal"/>
        <w:jc w:val="center"/>
        <w:outlineLvl w:val="2"/>
      </w:pPr>
      <w:bookmarkStart w:id="5" w:name="P240"/>
      <w:bookmarkEnd w:id="5"/>
      <w:r>
        <w:t>1. Экономико-географические условия</w:t>
      </w:r>
    </w:p>
    <w:p w:rsidR="00B04368" w:rsidRDefault="00B04368">
      <w:pPr>
        <w:pStyle w:val="EcoNormal"/>
        <w:jc w:val="both"/>
      </w:pPr>
    </w:p>
    <w:p w:rsidR="00B04368" w:rsidRDefault="00B04368">
      <w:pPr>
        <w:pStyle w:val="EcoNormal"/>
        <w:jc w:val="center"/>
        <w:outlineLvl w:val="3"/>
      </w:pPr>
      <w:r>
        <w:t>Удаленность от портов и экономическая освоенность региона</w:t>
      </w:r>
    </w:p>
    <w:p w:rsidR="00B04368" w:rsidRDefault="00B04368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053"/>
        <w:gridCol w:w="1689"/>
        <w:gridCol w:w="1887"/>
        <w:gridCol w:w="2973"/>
      </w:tblGrid>
      <w:tr w:rsidR="00B04368">
        <w:tc>
          <w:tcPr>
            <w:tcW w:w="3053" w:type="dxa"/>
            <w:vMerge w:val="restart"/>
          </w:tcPr>
          <w:p w:rsidR="00B04368" w:rsidRDefault="00B04368">
            <w:pPr>
              <w:pStyle w:val="EcoNormal"/>
              <w:jc w:val="center"/>
            </w:pPr>
            <w:r>
              <w:t>Степень освоенности региона, удаленность от портов</w:t>
            </w:r>
          </w:p>
        </w:tc>
        <w:tc>
          <w:tcPr>
            <w:tcW w:w="3576" w:type="dxa"/>
            <w:gridSpan w:val="2"/>
          </w:tcPr>
          <w:p w:rsidR="00B04368" w:rsidRDefault="00B04368">
            <w:pPr>
              <w:pStyle w:val="EcoNormal"/>
              <w:jc w:val="center"/>
            </w:pPr>
            <w:r>
              <w:t>Оценка влияния фактора при пользовании недрами в целях</w:t>
            </w:r>
          </w:p>
        </w:tc>
        <w:tc>
          <w:tcPr>
            <w:tcW w:w="2973" w:type="dxa"/>
            <w:vMerge w:val="restart"/>
          </w:tcPr>
          <w:p w:rsidR="00B04368" w:rsidRDefault="00B04368">
            <w:pPr>
              <w:pStyle w:val="EcoNormal"/>
              <w:jc w:val="center"/>
            </w:pPr>
            <w:r>
              <w:t>Отнесенные акватории, моря</w:t>
            </w:r>
          </w:p>
        </w:tc>
      </w:tr>
      <w:tr w:rsidR="00B04368">
        <w:tc>
          <w:tcPr>
            <w:tcW w:w="3053" w:type="dxa"/>
            <w:vMerge/>
          </w:tcPr>
          <w:p w:rsidR="00B04368" w:rsidRDefault="00B04368"/>
        </w:tc>
        <w:tc>
          <w:tcPr>
            <w:tcW w:w="1689" w:type="dxa"/>
          </w:tcPr>
          <w:p w:rsidR="00B04368" w:rsidRDefault="00B04368">
            <w:pPr>
              <w:pStyle w:val="EcoNormal"/>
              <w:jc w:val="center"/>
            </w:pPr>
            <w:r>
              <w:t>поиска и оценки месторождений полезных ископаемых</w:t>
            </w:r>
          </w:p>
        </w:tc>
        <w:tc>
          <w:tcPr>
            <w:tcW w:w="1887" w:type="dxa"/>
          </w:tcPr>
          <w:p w:rsidR="00B04368" w:rsidRDefault="00B04368">
            <w:pPr>
              <w:pStyle w:val="EcoNormal"/>
              <w:jc w:val="center"/>
            </w:pPr>
            <w:r>
              <w:t>разведки полезных ископаемых</w:t>
            </w:r>
          </w:p>
        </w:tc>
        <w:tc>
          <w:tcPr>
            <w:tcW w:w="2973" w:type="dxa"/>
            <w:vMerge/>
          </w:tcPr>
          <w:p w:rsidR="00B04368" w:rsidRDefault="00B04368"/>
        </w:tc>
      </w:tr>
      <w:tr w:rsidR="00B04368">
        <w:tc>
          <w:tcPr>
            <w:tcW w:w="3053" w:type="dxa"/>
          </w:tcPr>
          <w:p w:rsidR="00B04368" w:rsidRDefault="00B04368">
            <w:pPr>
              <w:pStyle w:val="EcoNormal"/>
              <w:jc w:val="center"/>
            </w:pPr>
            <w:r>
              <w:t>Инфраструктура отсутствует или удаленность от портов более 2000 км</w:t>
            </w:r>
          </w:p>
        </w:tc>
        <w:tc>
          <w:tcPr>
            <w:tcW w:w="1689" w:type="dxa"/>
          </w:tcPr>
          <w:p w:rsidR="00B04368" w:rsidRDefault="00B04368">
            <w:pPr>
              <w:pStyle w:val="EcoNormal"/>
              <w:jc w:val="center"/>
            </w:pPr>
            <w:r>
              <w:t>0,01</w:t>
            </w:r>
          </w:p>
        </w:tc>
        <w:tc>
          <w:tcPr>
            <w:tcW w:w="1887" w:type="dxa"/>
          </w:tcPr>
          <w:p w:rsidR="00B04368" w:rsidRDefault="00B04368">
            <w:pPr>
              <w:pStyle w:val="EcoNormal"/>
              <w:jc w:val="center"/>
            </w:pPr>
            <w:r>
              <w:t>0,01</w:t>
            </w:r>
          </w:p>
        </w:tc>
        <w:tc>
          <w:tcPr>
            <w:tcW w:w="2973" w:type="dxa"/>
          </w:tcPr>
          <w:p w:rsidR="00B04368" w:rsidRDefault="00B04368">
            <w:pPr>
              <w:pStyle w:val="EcoNormal"/>
              <w:jc w:val="center"/>
            </w:pPr>
            <w:r>
              <w:t>Восточно-Сибирское, Лаптевых, Чукотское, Берингово, северный сектор Карского</w:t>
            </w:r>
          </w:p>
        </w:tc>
      </w:tr>
      <w:tr w:rsidR="00B04368">
        <w:tc>
          <w:tcPr>
            <w:tcW w:w="3053" w:type="dxa"/>
          </w:tcPr>
          <w:p w:rsidR="00B04368" w:rsidRDefault="00B04368">
            <w:pPr>
              <w:pStyle w:val="EcoNormal"/>
              <w:jc w:val="center"/>
            </w:pPr>
            <w:r>
              <w:t xml:space="preserve">Инфраструктура имеется частично (есть </w:t>
            </w:r>
            <w:proofErr w:type="spellStart"/>
            <w:r>
              <w:t>портпункт</w:t>
            </w:r>
            <w:proofErr w:type="spellEnd"/>
            <w:r>
              <w:t>) или удаленность от портов более 1000 км, но менее 2000 км</w:t>
            </w:r>
          </w:p>
        </w:tc>
        <w:tc>
          <w:tcPr>
            <w:tcW w:w="1689" w:type="dxa"/>
          </w:tcPr>
          <w:p w:rsidR="00B04368" w:rsidRDefault="00B04368">
            <w:pPr>
              <w:pStyle w:val="EcoNormal"/>
              <w:jc w:val="center"/>
            </w:pPr>
            <w:r>
              <w:t>0,02</w:t>
            </w:r>
          </w:p>
        </w:tc>
        <w:tc>
          <w:tcPr>
            <w:tcW w:w="1887" w:type="dxa"/>
          </w:tcPr>
          <w:p w:rsidR="00B04368" w:rsidRDefault="00B04368">
            <w:pPr>
              <w:pStyle w:val="EcoNormal"/>
              <w:jc w:val="center"/>
            </w:pPr>
            <w:r>
              <w:t>0,02</w:t>
            </w:r>
          </w:p>
        </w:tc>
        <w:tc>
          <w:tcPr>
            <w:tcW w:w="2973" w:type="dxa"/>
          </w:tcPr>
          <w:p w:rsidR="00B04368" w:rsidRDefault="00B04368">
            <w:pPr>
              <w:pStyle w:val="EcoNormal"/>
              <w:jc w:val="center"/>
            </w:pPr>
            <w:r>
              <w:t>Баренцево, южный сектор Карского, Охотское</w:t>
            </w:r>
          </w:p>
        </w:tc>
      </w:tr>
      <w:tr w:rsidR="00B04368">
        <w:tc>
          <w:tcPr>
            <w:tcW w:w="3053" w:type="dxa"/>
          </w:tcPr>
          <w:p w:rsidR="00B04368" w:rsidRDefault="00B04368">
            <w:pPr>
              <w:pStyle w:val="EcoNormal"/>
              <w:jc w:val="center"/>
            </w:pPr>
            <w:r>
              <w:t>Инфраструктура имеется полностью или удаленность от портов до 1000 км</w:t>
            </w:r>
          </w:p>
        </w:tc>
        <w:tc>
          <w:tcPr>
            <w:tcW w:w="1689" w:type="dxa"/>
          </w:tcPr>
          <w:p w:rsidR="00B04368" w:rsidRDefault="00B04368">
            <w:pPr>
              <w:pStyle w:val="EcoNormal"/>
              <w:jc w:val="center"/>
            </w:pPr>
            <w:r>
              <w:t>0,03</w:t>
            </w:r>
          </w:p>
        </w:tc>
        <w:tc>
          <w:tcPr>
            <w:tcW w:w="1887" w:type="dxa"/>
          </w:tcPr>
          <w:p w:rsidR="00B04368" w:rsidRDefault="00B04368">
            <w:pPr>
              <w:pStyle w:val="EcoNormal"/>
              <w:jc w:val="center"/>
            </w:pPr>
            <w:r>
              <w:t>0,03</w:t>
            </w:r>
          </w:p>
        </w:tc>
        <w:tc>
          <w:tcPr>
            <w:tcW w:w="2973" w:type="dxa"/>
          </w:tcPr>
          <w:p w:rsidR="00B04368" w:rsidRDefault="00B04368">
            <w:pPr>
              <w:pStyle w:val="EcoNormal"/>
              <w:jc w:val="center"/>
            </w:pPr>
            <w:r>
              <w:t>Балтийское, Черное, Азовское, Каспийское, Японское</w:t>
            </w:r>
          </w:p>
        </w:tc>
      </w:tr>
    </w:tbl>
    <w:p w:rsidR="00B04368" w:rsidRDefault="00B04368">
      <w:pPr>
        <w:pStyle w:val="EcoNormal"/>
        <w:jc w:val="both"/>
      </w:pPr>
    </w:p>
    <w:p w:rsidR="00B04368" w:rsidRDefault="00B04368">
      <w:pPr>
        <w:pStyle w:val="EcoNormal"/>
        <w:jc w:val="center"/>
        <w:outlineLvl w:val="3"/>
      </w:pPr>
      <w:r>
        <w:t>Климатические условия</w:t>
      </w:r>
    </w:p>
    <w:p w:rsidR="00B04368" w:rsidRDefault="00B04368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662"/>
        <w:gridCol w:w="2880"/>
        <w:gridCol w:w="3060"/>
      </w:tblGrid>
      <w:tr w:rsidR="00B04368">
        <w:tc>
          <w:tcPr>
            <w:tcW w:w="3662" w:type="dxa"/>
            <w:vMerge w:val="restart"/>
          </w:tcPr>
          <w:p w:rsidR="00B04368" w:rsidRDefault="00B04368">
            <w:pPr>
              <w:pStyle w:val="EcoNormal"/>
              <w:jc w:val="center"/>
            </w:pPr>
            <w:r>
              <w:t>Отнесенные акватории, моря</w:t>
            </w:r>
          </w:p>
        </w:tc>
        <w:tc>
          <w:tcPr>
            <w:tcW w:w="5940" w:type="dxa"/>
            <w:gridSpan w:val="2"/>
          </w:tcPr>
          <w:p w:rsidR="00B04368" w:rsidRDefault="00B04368">
            <w:pPr>
              <w:pStyle w:val="EcoNormal"/>
              <w:jc w:val="center"/>
            </w:pPr>
            <w:r>
              <w:t>Оценка влияния фактора при пользовании недрами в целях</w:t>
            </w:r>
          </w:p>
        </w:tc>
      </w:tr>
      <w:tr w:rsidR="00B04368">
        <w:tc>
          <w:tcPr>
            <w:tcW w:w="3662" w:type="dxa"/>
            <w:vMerge/>
          </w:tcPr>
          <w:p w:rsidR="00B04368" w:rsidRDefault="00B04368"/>
        </w:tc>
        <w:tc>
          <w:tcPr>
            <w:tcW w:w="2880" w:type="dxa"/>
          </w:tcPr>
          <w:p w:rsidR="00B04368" w:rsidRDefault="00B04368">
            <w:pPr>
              <w:pStyle w:val="EcoNormal"/>
              <w:jc w:val="center"/>
            </w:pPr>
            <w:r>
              <w:t>поиска и оценки месторождений полезных ископаемых</w:t>
            </w:r>
          </w:p>
        </w:tc>
        <w:tc>
          <w:tcPr>
            <w:tcW w:w="3060" w:type="dxa"/>
          </w:tcPr>
          <w:p w:rsidR="00B04368" w:rsidRDefault="00B04368">
            <w:pPr>
              <w:pStyle w:val="EcoNormal"/>
              <w:jc w:val="center"/>
            </w:pPr>
            <w:r>
              <w:t>разведки полезных ископаемых</w:t>
            </w:r>
          </w:p>
        </w:tc>
      </w:tr>
      <w:tr w:rsidR="00B04368">
        <w:tc>
          <w:tcPr>
            <w:tcW w:w="3662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моря Баренцево, Карское, Восточно-Сибирское, Лаптевых, Чукотское, Берингово</w:t>
            </w:r>
          </w:p>
        </w:tc>
        <w:tc>
          <w:tcPr>
            <w:tcW w:w="2880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0,05</w:t>
            </w:r>
          </w:p>
        </w:tc>
        <w:tc>
          <w:tcPr>
            <w:tcW w:w="3060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0,05</w:t>
            </w:r>
          </w:p>
        </w:tc>
      </w:tr>
      <w:tr w:rsidR="00B04368">
        <w:tc>
          <w:tcPr>
            <w:tcW w:w="3662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lastRenderedPageBreak/>
              <w:t>моря Охотское, Балтийское, Японское</w:t>
            </w:r>
          </w:p>
        </w:tc>
        <w:tc>
          <w:tcPr>
            <w:tcW w:w="2880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0,07</w:t>
            </w:r>
          </w:p>
        </w:tc>
        <w:tc>
          <w:tcPr>
            <w:tcW w:w="3060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0,07</w:t>
            </w:r>
          </w:p>
        </w:tc>
      </w:tr>
      <w:tr w:rsidR="00B04368">
        <w:tc>
          <w:tcPr>
            <w:tcW w:w="3662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моря Черное, Азовское, Каспийское</w:t>
            </w:r>
          </w:p>
        </w:tc>
        <w:tc>
          <w:tcPr>
            <w:tcW w:w="2880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3060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0,1</w:t>
            </w:r>
          </w:p>
        </w:tc>
      </w:tr>
    </w:tbl>
    <w:p w:rsidR="00B04368" w:rsidRDefault="00B04368">
      <w:pPr>
        <w:pStyle w:val="EcoNormal"/>
        <w:jc w:val="both"/>
      </w:pPr>
    </w:p>
    <w:p w:rsidR="00B04368" w:rsidRDefault="00B04368">
      <w:pPr>
        <w:pStyle w:val="EcoNormal"/>
        <w:jc w:val="center"/>
        <w:outlineLvl w:val="2"/>
      </w:pPr>
      <w:r>
        <w:t>2. Степень геологической изученности территории</w:t>
      </w:r>
    </w:p>
    <w:p w:rsidR="00B04368" w:rsidRDefault="00B04368">
      <w:pPr>
        <w:pStyle w:val="EcoNormal"/>
        <w:jc w:val="center"/>
      </w:pPr>
      <w:r>
        <w:t>и степени риска</w:t>
      </w:r>
    </w:p>
    <w:p w:rsidR="00B04368" w:rsidRDefault="00B04368">
      <w:pPr>
        <w:pStyle w:val="EcoNormal"/>
        <w:jc w:val="both"/>
      </w:pPr>
    </w:p>
    <w:p w:rsidR="00B04368" w:rsidRDefault="00B04368">
      <w:pPr>
        <w:pStyle w:val="EcoNormal"/>
        <w:jc w:val="center"/>
        <w:outlineLvl w:val="3"/>
      </w:pPr>
      <w:r>
        <w:t>Плотность прогнозных ресурсов углеводородов</w:t>
      </w:r>
    </w:p>
    <w:p w:rsidR="00B04368" w:rsidRDefault="00B04368">
      <w:pPr>
        <w:pStyle w:val="EcoNormal"/>
        <w:jc w:val="center"/>
      </w:pPr>
      <w:r>
        <w:t>(применяется при расчете ставок регулярных платежей</w:t>
      </w:r>
    </w:p>
    <w:p w:rsidR="00B04368" w:rsidRDefault="00B04368">
      <w:pPr>
        <w:pStyle w:val="EcoNormal"/>
        <w:jc w:val="center"/>
      </w:pPr>
      <w:r>
        <w:t>при проведении поисково-оценочных работ)</w:t>
      </w:r>
    </w:p>
    <w:p w:rsidR="00B04368" w:rsidRDefault="00B04368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562"/>
        <w:gridCol w:w="5040"/>
      </w:tblGrid>
      <w:tr w:rsidR="00B04368">
        <w:tc>
          <w:tcPr>
            <w:tcW w:w="4562" w:type="dxa"/>
          </w:tcPr>
          <w:p w:rsidR="00B04368" w:rsidRDefault="00B04368">
            <w:pPr>
              <w:pStyle w:val="EcoNormal"/>
              <w:jc w:val="center"/>
            </w:pPr>
            <w:r>
              <w:t xml:space="preserve">Плотность прогнозных ресурсов углеводородного сырья (тыс. </w:t>
            </w:r>
            <w:proofErr w:type="spellStart"/>
            <w:r>
              <w:t>т.у.т</w:t>
            </w:r>
            <w:proofErr w:type="spellEnd"/>
            <w:r>
              <w:t>./кв. км) &lt;*&gt;</w:t>
            </w:r>
          </w:p>
        </w:tc>
        <w:tc>
          <w:tcPr>
            <w:tcW w:w="5040" w:type="dxa"/>
          </w:tcPr>
          <w:p w:rsidR="00B04368" w:rsidRDefault="00B04368">
            <w:pPr>
              <w:pStyle w:val="EcoNormal"/>
              <w:jc w:val="center"/>
            </w:pPr>
            <w:r>
              <w:t>Оценка влияния фактора при пользовании недрами в целях поиска и оценки месторождений полезных ископаемых</w:t>
            </w:r>
          </w:p>
        </w:tc>
      </w:tr>
      <w:tr w:rsidR="00B04368">
        <w:tc>
          <w:tcPr>
            <w:tcW w:w="4562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&gt; 200</w:t>
            </w:r>
          </w:p>
        </w:tc>
        <w:tc>
          <w:tcPr>
            <w:tcW w:w="5040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0,2</w:t>
            </w:r>
          </w:p>
        </w:tc>
      </w:tr>
      <w:tr w:rsidR="00B04368">
        <w:tc>
          <w:tcPr>
            <w:tcW w:w="4562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100 - 200</w:t>
            </w:r>
          </w:p>
        </w:tc>
        <w:tc>
          <w:tcPr>
            <w:tcW w:w="5040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0,18</w:t>
            </w:r>
          </w:p>
        </w:tc>
      </w:tr>
      <w:tr w:rsidR="00B04368">
        <w:tc>
          <w:tcPr>
            <w:tcW w:w="4562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50 - 100</w:t>
            </w:r>
          </w:p>
        </w:tc>
        <w:tc>
          <w:tcPr>
            <w:tcW w:w="5040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0,16</w:t>
            </w:r>
          </w:p>
        </w:tc>
      </w:tr>
      <w:tr w:rsidR="00B04368">
        <w:tc>
          <w:tcPr>
            <w:tcW w:w="4562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30 - 50</w:t>
            </w:r>
          </w:p>
        </w:tc>
        <w:tc>
          <w:tcPr>
            <w:tcW w:w="5040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0,14</w:t>
            </w:r>
          </w:p>
        </w:tc>
      </w:tr>
      <w:tr w:rsidR="00B04368">
        <w:tc>
          <w:tcPr>
            <w:tcW w:w="4562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10 - 30</w:t>
            </w:r>
          </w:p>
        </w:tc>
        <w:tc>
          <w:tcPr>
            <w:tcW w:w="5040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0,12</w:t>
            </w:r>
          </w:p>
        </w:tc>
      </w:tr>
      <w:tr w:rsidR="00B04368">
        <w:tc>
          <w:tcPr>
            <w:tcW w:w="4562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5 - 0</w:t>
            </w:r>
          </w:p>
        </w:tc>
        <w:tc>
          <w:tcPr>
            <w:tcW w:w="5040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0,11</w:t>
            </w:r>
          </w:p>
        </w:tc>
      </w:tr>
      <w:tr w:rsidR="00B04368">
        <w:tc>
          <w:tcPr>
            <w:tcW w:w="4562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&lt; 5</w:t>
            </w:r>
          </w:p>
        </w:tc>
        <w:tc>
          <w:tcPr>
            <w:tcW w:w="5040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0,1</w:t>
            </w:r>
          </w:p>
        </w:tc>
      </w:tr>
    </w:tbl>
    <w:p w:rsidR="00B04368" w:rsidRDefault="00B04368">
      <w:pPr>
        <w:pStyle w:val="EcoNormal"/>
        <w:jc w:val="both"/>
      </w:pPr>
    </w:p>
    <w:p w:rsidR="00B04368" w:rsidRDefault="00B04368">
      <w:pPr>
        <w:pStyle w:val="EcoNormal"/>
        <w:jc w:val="center"/>
        <w:outlineLvl w:val="3"/>
      </w:pPr>
      <w:r>
        <w:t>Плотность прогнозных ресурсов прочих полезных ископаемых</w:t>
      </w:r>
    </w:p>
    <w:p w:rsidR="00B04368" w:rsidRDefault="00B04368">
      <w:pPr>
        <w:pStyle w:val="EcoNormal"/>
        <w:jc w:val="center"/>
      </w:pPr>
      <w:r>
        <w:t>(применяется при расчете ставок регулярных платежей</w:t>
      </w:r>
    </w:p>
    <w:p w:rsidR="00B04368" w:rsidRDefault="00B04368">
      <w:pPr>
        <w:pStyle w:val="EcoNormal"/>
        <w:jc w:val="center"/>
      </w:pPr>
      <w:r>
        <w:t>при проведении поисково-оценочных работ)</w:t>
      </w:r>
    </w:p>
    <w:p w:rsidR="00B04368" w:rsidRDefault="00B04368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562"/>
        <w:gridCol w:w="5040"/>
      </w:tblGrid>
      <w:tr w:rsidR="00B04368">
        <w:tc>
          <w:tcPr>
            <w:tcW w:w="4562" w:type="dxa"/>
          </w:tcPr>
          <w:p w:rsidR="00B04368" w:rsidRDefault="00B04368">
            <w:pPr>
              <w:pStyle w:val="EcoNormal"/>
              <w:jc w:val="center"/>
            </w:pPr>
            <w:r>
              <w:lastRenderedPageBreak/>
              <w:t>Плотность прогнозных ресурсов (тыс. т/кв. км)</w:t>
            </w:r>
          </w:p>
        </w:tc>
        <w:tc>
          <w:tcPr>
            <w:tcW w:w="5040" w:type="dxa"/>
          </w:tcPr>
          <w:p w:rsidR="00B04368" w:rsidRDefault="00B04368">
            <w:pPr>
              <w:pStyle w:val="EcoNormal"/>
              <w:jc w:val="center"/>
            </w:pPr>
            <w:r>
              <w:t>Оценка влияния фактора при пользовании недрами в целях поиска и оценки месторождений полезных ископаемых</w:t>
            </w:r>
          </w:p>
        </w:tc>
      </w:tr>
      <w:tr w:rsidR="00B04368">
        <w:tc>
          <w:tcPr>
            <w:tcW w:w="4562" w:type="dxa"/>
          </w:tcPr>
          <w:p w:rsidR="00B04368" w:rsidRDefault="00B04368">
            <w:pPr>
              <w:pStyle w:val="EcoNormal"/>
              <w:jc w:val="center"/>
            </w:pPr>
            <w:r>
              <w:t>&gt; 200</w:t>
            </w:r>
          </w:p>
        </w:tc>
        <w:tc>
          <w:tcPr>
            <w:tcW w:w="5040" w:type="dxa"/>
          </w:tcPr>
          <w:p w:rsidR="00B04368" w:rsidRDefault="00B04368">
            <w:pPr>
              <w:pStyle w:val="EcoNormal"/>
              <w:jc w:val="center"/>
            </w:pPr>
            <w:r>
              <w:t>0,2</w:t>
            </w:r>
          </w:p>
        </w:tc>
      </w:tr>
      <w:tr w:rsidR="00B04368">
        <w:tc>
          <w:tcPr>
            <w:tcW w:w="4562" w:type="dxa"/>
          </w:tcPr>
          <w:p w:rsidR="00B04368" w:rsidRDefault="00B04368">
            <w:pPr>
              <w:pStyle w:val="EcoNormal"/>
              <w:jc w:val="center"/>
            </w:pPr>
            <w:r>
              <w:t>100 - 200</w:t>
            </w:r>
          </w:p>
        </w:tc>
        <w:tc>
          <w:tcPr>
            <w:tcW w:w="5040" w:type="dxa"/>
          </w:tcPr>
          <w:p w:rsidR="00B04368" w:rsidRDefault="00B04368">
            <w:pPr>
              <w:pStyle w:val="EcoNormal"/>
              <w:jc w:val="center"/>
            </w:pPr>
            <w:r>
              <w:t>0,18</w:t>
            </w:r>
          </w:p>
        </w:tc>
      </w:tr>
      <w:tr w:rsidR="00B04368">
        <w:tc>
          <w:tcPr>
            <w:tcW w:w="4562" w:type="dxa"/>
          </w:tcPr>
          <w:p w:rsidR="00B04368" w:rsidRDefault="00B04368">
            <w:pPr>
              <w:pStyle w:val="EcoNormal"/>
              <w:jc w:val="center"/>
            </w:pPr>
            <w:r>
              <w:t>50 - 100</w:t>
            </w:r>
          </w:p>
        </w:tc>
        <w:tc>
          <w:tcPr>
            <w:tcW w:w="5040" w:type="dxa"/>
          </w:tcPr>
          <w:p w:rsidR="00B04368" w:rsidRDefault="00B04368">
            <w:pPr>
              <w:pStyle w:val="EcoNormal"/>
              <w:jc w:val="center"/>
            </w:pPr>
            <w:r>
              <w:t>0,16</w:t>
            </w:r>
          </w:p>
        </w:tc>
      </w:tr>
      <w:tr w:rsidR="00B04368">
        <w:tc>
          <w:tcPr>
            <w:tcW w:w="4562" w:type="dxa"/>
          </w:tcPr>
          <w:p w:rsidR="00B04368" w:rsidRDefault="00B04368">
            <w:pPr>
              <w:pStyle w:val="EcoNormal"/>
              <w:jc w:val="center"/>
            </w:pPr>
            <w:r>
              <w:t>30 - 50</w:t>
            </w:r>
          </w:p>
        </w:tc>
        <w:tc>
          <w:tcPr>
            <w:tcW w:w="5040" w:type="dxa"/>
          </w:tcPr>
          <w:p w:rsidR="00B04368" w:rsidRDefault="00B04368">
            <w:pPr>
              <w:pStyle w:val="EcoNormal"/>
              <w:jc w:val="center"/>
            </w:pPr>
            <w:r>
              <w:t>0,14</w:t>
            </w:r>
          </w:p>
        </w:tc>
      </w:tr>
      <w:tr w:rsidR="00B04368">
        <w:tc>
          <w:tcPr>
            <w:tcW w:w="4562" w:type="dxa"/>
          </w:tcPr>
          <w:p w:rsidR="00B04368" w:rsidRDefault="00B04368">
            <w:pPr>
              <w:pStyle w:val="EcoNormal"/>
              <w:jc w:val="center"/>
            </w:pPr>
            <w:r>
              <w:t>10 - 30</w:t>
            </w:r>
          </w:p>
        </w:tc>
        <w:tc>
          <w:tcPr>
            <w:tcW w:w="5040" w:type="dxa"/>
          </w:tcPr>
          <w:p w:rsidR="00B04368" w:rsidRDefault="00B04368">
            <w:pPr>
              <w:pStyle w:val="EcoNormal"/>
              <w:jc w:val="center"/>
            </w:pPr>
            <w:r>
              <w:t>0,12</w:t>
            </w:r>
          </w:p>
        </w:tc>
      </w:tr>
      <w:tr w:rsidR="00B04368">
        <w:tc>
          <w:tcPr>
            <w:tcW w:w="4562" w:type="dxa"/>
          </w:tcPr>
          <w:p w:rsidR="00B04368" w:rsidRDefault="00B04368">
            <w:pPr>
              <w:pStyle w:val="EcoNormal"/>
              <w:jc w:val="center"/>
            </w:pPr>
            <w:r>
              <w:t>5 - 10</w:t>
            </w:r>
          </w:p>
        </w:tc>
        <w:tc>
          <w:tcPr>
            <w:tcW w:w="5040" w:type="dxa"/>
          </w:tcPr>
          <w:p w:rsidR="00B04368" w:rsidRDefault="00B04368">
            <w:pPr>
              <w:pStyle w:val="EcoNormal"/>
              <w:jc w:val="center"/>
            </w:pPr>
            <w:r>
              <w:t>0,11</w:t>
            </w:r>
          </w:p>
        </w:tc>
      </w:tr>
      <w:tr w:rsidR="00B04368">
        <w:tc>
          <w:tcPr>
            <w:tcW w:w="4562" w:type="dxa"/>
          </w:tcPr>
          <w:p w:rsidR="00B04368" w:rsidRDefault="00B04368">
            <w:pPr>
              <w:pStyle w:val="EcoNormal"/>
              <w:jc w:val="center"/>
            </w:pPr>
            <w:r>
              <w:t>&lt; 5</w:t>
            </w:r>
          </w:p>
        </w:tc>
        <w:tc>
          <w:tcPr>
            <w:tcW w:w="5040" w:type="dxa"/>
          </w:tcPr>
          <w:p w:rsidR="00B04368" w:rsidRDefault="00B04368">
            <w:pPr>
              <w:pStyle w:val="EcoNormal"/>
              <w:jc w:val="center"/>
            </w:pPr>
            <w:r>
              <w:t>0,1</w:t>
            </w:r>
          </w:p>
        </w:tc>
      </w:tr>
    </w:tbl>
    <w:p w:rsidR="00B04368" w:rsidRDefault="00B04368">
      <w:pPr>
        <w:pStyle w:val="EcoNormal"/>
        <w:jc w:val="both"/>
      </w:pPr>
    </w:p>
    <w:p w:rsidR="00B04368" w:rsidRDefault="00B04368">
      <w:pPr>
        <w:pStyle w:val="EcoNormal"/>
        <w:jc w:val="center"/>
        <w:outlineLvl w:val="3"/>
      </w:pPr>
      <w:r>
        <w:t>Плотность запасов (C1 + C2) углеводородного сырья</w:t>
      </w:r>
    </w:p>
    <w:p w:rsidR="00B04368" w:rsidRDefault="00B04368">
      <w:pPr>
        <w:pStyle w:val="EcoNormal"/>
        <w:jc w:val="center"/>
      </w:pPr>
      <w:r>
        <w:t>(применяется при расчете ставок регулярных платежей</w:t>
      </w:r>
    </w:p>
    <w:p w:rsidR="00B04368" w:rsidRDefault="00B04368">
      <w:pPr>
        <w:pStyle w:val="EcoNormal"/>
        <w:jc w:val="center"/>
      </w:pPr>
      <w:r>
        <w:t>при проведении разведочных работ)</w:t>
      </w:r>
    </w:p>
    <w:p w:rsidR="00B04368" w:rsidRDefault="00B04368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562"/>
        <w:gridCol w:w="5040"/>
      </w:tblGrid>
      <w:tr w:rsidR="00B04368">
        <w:tc>
          <w:tcPr>
            <w:tcW w:w="4562" w:type="dxa"/>
          </w:tcPr>
          <w:p w:rsidR="00B04368" w:rsidRDefault="00B04368">
            <w:pPr>
              <w:pStyle w:val="EcoNormal"/>
              <w:jc w:val="center"/>
            </w:pPr>
            <w:r>
              <w:t xml:space="preserve">Плотность запасов углеводородного сырья (тыс. </w:t>
            </w:r>
            <w:proofErr w:type="spellStart"/>
            <w:r>
              <w:t>т.у.т</w:t>
            </w:r>
            <w:proofErr w:type="spellEnd"/>
            <w:r>
              <w:t>./кв. км) &lt;*&gt;</w:t>
            </w:r>
          </w:p>
        </w:tc>
        <w:tc>
          <w:tcPr>
            <w:tcW w:w="5040" w:type="dxa"/>
          </w:tcPr>
          <w:p w:rsidR="00B04368" w:rsidRDefault="00B04368">
            <w:pPr>
              <w:pStyle w:val="EcoNormal"/>
              <w:jc w:val="center"/>
            </w:pPr>
            <w:r>
              <w:t>Оценка влияния фактора при пользовании недрами в целях разведки полезных ископаемых</w:t>
            </w:r>
          </w:p>
        </w:tc>
      </w:tr>
      <w:tr w:rsidR="00B04368">
        <w:tc>
          <w:tcPr>
            <w:tcW w:w="4562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&gt; 2500</w:t>
            </w:r>
          </w:p>
        </w:tc>
        <w:tc>
          <w:tcPr>
            <w:tcW w:w="5040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0,2</w:t>
            </w:r>
          </w:p>
        </w:tc>
      </w:tr>
      <w:tr w:rsidR="00B04368">
        <w:tc>
          <w:tcPr>
            <w:tcW w:w="4562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1500 - 2500</w:t>
            </w:r>
          </w:p>
        </w:tc>
        <w:tc>
          <w:tcPr>
            <w:tcW w:w="5040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0,18</w:t>
            </w:r>
          </w:p>
        </w:tc>
      </w:tr>
      <w:tr w:rsidR="00B04368">
        <w:tc>
          <w:tcPr>
            <w:tcW w:w="4562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1000 - 1500</w:t>
            </w:r>
          </w:p>
        </w:tc>
        <w:tc>
          <w:tcPr>
            <w:tcW w:w="5040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0,16</w:t>
            </w:r>
          </w:p>
        </w:tc>
      </w:tr>
      <w:tr w:rsidR="00B04368">
        <w:tc>
          <w:tcPr>
            <w:tcW w:w="4562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500 - 1000</w:t>
            </w:r>
          </w:p>
        </w:tc>
        <w:tc>
          <w:tcPr>
            <w:tcW w:w="5040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0,14</w:t>
            </w:r>
          </w:p>
        </w:tc>
      </w:tr>
      <w:tr w:rsidR="00B04368">
        <w:tc>
          <w:tcPr>
            <w:tcW w:w="4562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100 - 500</w:t>
            </w:r>
          </w:p>
        </w:tc>
        <w:tc>
          <w:tcPr>
            <w:tcW w:w="5040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0,12</w:t>
            </w:r>
          </w:p>
        </w:tc>
      </w:tr>
      <w:tr w:rsidR="00B04368">
        <w:tc>
          <w:tcPr>
            <w:tcW w:w="4562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lastRenderedPageBreak/>
              <w:t>&lt; 100</w:t>
            </w:r>
          </w:p>
        </w:tc>
        <w:tc>
          <w:tcPr>
            <w:tcW w:w="5040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0,1</w:t>
            </w:r>
          </w:p>
        </w:tc>
      </w:tr>
    </w:tbl>
    <w:p w:rsidR="00B04368" w:rsidRDefault="00B04368">
      <w:pPr>
        <w:pStyle w:val="EcoNormal"/>
        <w:jc w:val="both"/>
      </w:pPr>
    </w:p>
    <w:p w:rsidR="00B04368" w:rsidRDefault="00B04368">
      <w:pPr>
        <w:pStyle w:val="EcoNormal"/>
        <w:ind w:firstLine="540"/>
        <w:jc w:val="both"/>
      </w:pPr>
      <w:r>
        <w:t>--------------------------------</w:t>
      </w:r>
    </w:p>
    <w:p w:rsidR="00B04368" w:rsidRDefault="00B04368">
      <w:pPr>
        <w:pStyle w:val="EcoNormal"/>
        <w:ind w:firstLine="540"/>
        <w:jc w:val="both"/>
      </w:pPr>
      <w:bookmarkStart w:id="6" w:name="P343"/>
      <w:bookmarkEnd w:id="6"/>
      <w:r>
        <w:t>&lt;*&gt; Для целей настоящего Порядка при переводе полезных ископаемых в условные единицы используются следующие коэффициенты пересчета:</w:t>
      </w:r>
    </w:p>
    <w:p w:rsidR="00B04368" w:rsidRDefault="00B04368">
      <w:pPr>
        <w:pStyle w:val="EcoNormal"/>
        <w:ind w:firstLine="540"/>
        <w:jc w:val="both"/>
      </w:pPr>
      <w:r>
        <w:t>- для нефти и газового конденсата: 1 тонна условного топлива = 1 тонна нефти (газового конденсата) * 1,43;</w:t>
      </w:r>
    </w:p>
    <w:p w:rsidR="00B04368" w:rsidRDefault="00B04368">
      <w:pPr>
        <w:pStyle w:val="EcoNormal"/>
        <w:ind w:firstLine="540"/>
        <w:jc w:val="both"/>
      </w:pPr>
      <w:r>
        <w:t>- для газа горючего природного: 1 тонна условного топлива = 1 000 куб. м газа * 1,15;</w:t>
      </w:r>
    </w:p>
    <w:p w:rsidR="00B04368" w:rsidRDefault="00B04368">
      <w:pPr>
        <w:pStyle w:val="EcoNormal"/>
        <w:ind w:firstLine="540"/>
        <w:jc w:val="both"/>
      </w:pPr>
      <w:r>
        <w:t>- для газа горючего попутного: 1 тонна условного топлива = 1 000 куб. м газа * 1,3.</w:t>
      </w:r>
    </w:p>
    <w:p w:rsidR="00B04368" w:rsidRDefault="00B04368">
      <w:pPr>
        <w:pStyle w:val="EcoNormal"/>
        <w:jc w:val="both"/>
      </w:pPr>
    </w:p>
    <w:p w:rsidR="00B04368" w:rsidRDefault="00B04368">
      <w:pPr>
        <w:pStyle w:val="EcoNormal"/>
        <w:jc w:val="center"/>
        <w:outlineLvl w:val="3"/>
      </w:pPr>
      <w:r>
        <w:t>Плотность запасов (C1 + C2) прочих полезных ископаемых</w:t>
      </w:r>
    </w:p>
    <w:p w:rsidR="00B04368" w:rsidRDefault="00B04368">
      <w:pPr>
        <w:pStyle w:val="EcoNormal"/>
        <w:jc w:val="center"/>
      </w:pPr>
      <w:r>
        <w:t>(применяется при расчете ставок регулярных платежей</w:t>
      </w:r>
    </w:p>
    <w:p w:rsidR="00B04368" w:rsidRDefault="00B04368">
      <w:pPr>
        <w:pStyle w:val="EcoNormal"/>
        <w:jc w:val="center"/>
      </w:pPr>
      <w:r>
        <w:t>при проведении разведочных работ)</w:t>
      </w:r>
    </w:p>
    <w:p w:rsidR="00B04368" w:rsidRDefault="00B04368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562"/>
        <w:gridCol w:w="5040"/>
      </w:tblGrid>
      <w:tr w:rsidR="00B04368">
        <w:tc>
          <w:tcPr>
            <w:tcW w:w="4562" w:type="dxa"/>
          </w:tcPr>
          <w:p w:rsidR="00B04368" w:rsidRDefault="00B04368">
            <w:pPr>
              <w:pStyle w:val="EcoNormal"/>
              <w:jc w:val="center"/>
            </w:pPr>
            <w:r>
              <w:t>Плотность запасов (тыс. т/кв. км)</w:t>
            </w:r>
          </w:p>
        </w:tc>
        <w:tc>
          <w:tcPr>
            <w:tcW w:w="5040" w:type="dxa"/>
          </w:tcPr>
          <w:p w:rsidR="00B04368" w:rsidRDefault="00B04368">
            <w:pPr>
              <w:pStyle w:val="EcoNormal"/>
              <w:jc w:val="center"/>
            </w:pPr>
            <w:r>
              <w:t>Оценка влияния фактора при пользовании недрами в целях разведки полезных ископаемых</w:t>
            </w:r>
          </w:p>
        </w:tc>
      </w:tr>
      <w:tr w:rsidR="00B04368">
        <w:tc>
          <w:tcPr>
            <w:tcW w:w="4562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&gt; 2500</w:t>
            </w:r>
          </w:p>
        </w:tc>
        <w:tc>
          <w:tcPr>
            <w:tcW w:w="5040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0,2</w:t>
            </w:r>
          </w:p>
        </w:tc>
      </w:tr>
      <w:tr w:rsidR="00B04368">
        <w:tc>
          <w:tcPr>
            <w:tcW w:w="4562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1500 - 2500</w:t>
            </w:r>
          </w:p>
        </w:tc>
        <w:tc>
          <w:tcPr>
            <w:tcW w:w="5040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0,18</w:t>
            </w:r>
          </w:p>
        </w:tc>
      </w:tr>
      <w:tr w:rsidR="00B04368">
        <w:tc>
          <w:tcPr>
            <w:tcW w:w="4562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1000 - 1500</w:t>
            </w:r>
          </w:p>
        </w:tc>
        <w:tc>
          <w:tcPr>
            <w:tcW w:w="5040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0,16</w:t>
            </w:r>
          </w:p>
        </w:tc>
      </w:tr>
      <w:tr w:rsidR="00B04368">
        <w:tc>
          <w:tcPr>
            <w:tcW w:w="4562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500 - 1000</w:t>
            </w:r>
          </w:p>
        </w:tc>
        <w:tc>
          <w:tcPr>
            <w:tcW w:w="5040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0,14</w:t>
            </w:r>
          </w:p>
        </w:tc>
      </w:tr>
      <w:tr w:rsidR="00B04368">
        <w:tc>
          <w:tcPr>
            <w:tcW w:w="4562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100 - 500</w:t>
            </w:r>
          </w:p>
        </w:tc>
        <w:tc>
          <w:tcPr>
            <w:tcW w:w="5040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0,12</w:t>
            </w:r>
          </w:p>
        </w:tc>
      </w:tr>
      <w:tr w:rsidR="00B04368">
        <w:tc>
          <w:tcPr>
            <w:tcW w:w="4562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&lt; 100</w:t>
            </w:r>
          </w:p>
        </w:tc>
        <w:tc>
          <w:tcPr>
            <w:tcW w:w="5040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0,1</w:t>
            </w:r>
          </w:p>
        </w:tc>
      </w:tr>
    </w:tbl>
    <w:p w:rsidR="00B04368" w:rsidRDefault="00B04368">
      <w:pPr>
        <w:pStyle w:val="EcoNormal"/>
        <w:jc w:val="both"/>
      </w:pPr>
    </w:p>
    <w:p w:rsidR="00B04368" w:rsidRDefault="00B04368">
      <w:pPr>
        <w:pStyle w:val="EcoNormal"/>
        <w:jc w:val="center"/>
        <w:outlineLvl w:val="3"/>
      </w:pPr>
      <w:r>
        <w:t>Глубина залегания продуктивных горизонтов</w:t>
      </w:r>
    </w:p>
    <w:p w:rsidR="00B04368" w:rsidRDefault="00B04368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942"/>
        <w:gridCol w:w="3240"/>
        <w:gridCol w:w="3420"/>
      </w:tblGrid>
      <w:tr w:rsidR="00B04368">
        <w:tc>
          <w:tcPr>
            <w:tcW w:w="2942" w:type="dxa"/>
          </w:tcPr>
          <w:p w:rsidR="00B04368" w:rsidRDefault="00B04368">
            <w:pPr>
              <w:pStyle w:val="EcoNormal"/>
              <w:jc w:val="center"/>
            </w:pPr>
            <w:r>
              <w:t>Глубина, км</w:t>
            </w:r>
          </w:p>
        </w:tc>
        <w:tc>
          <w:tcPr>
            <w:tcW w:w="3240" w:type="dxa"/>
          </w:tcPr>
          <w:p w:rsidR="00B04368" w:rsidRDefault="00B04368">
            <w:pPr>
              <w:pStyle w:val="EcoNormal"/>
              <w:jc w:val="center"/>
            </w:pPr>
            <w:r>
              <w:t xml:space="preserve">Оценка влияния фактора при пользовании недрами в целях поиска и оценки месторождений полезных </w:t>
            </w:r>
            <w:r>
              <w:lastRenderedPageBreak/>
              <w:t>ископаемых</w:t>
            </w:r>
          </w:p>
        </w:tc>
        <w:tc>
          <w:tcPr>
            <w:tcW w:w="3420" w:type="dxa"/>
          </w:tcPr>
          <w:p w:rsidR="00B04368" w:rsidRDefault="00B04368">
            <w:pPr>
              <w:pStyle w:val="EcoNormal"/>
              <w:jc w:val="center"/>
            </w:pPr>
            <w:r>
              <w:lastRenderedPageBreak/>
              <w:t>Оценка влияния фактора при пользовании недрами в целях разведки полезных ископаемых</w:t>
            </w:r>
          </w:p>
        </w:tc>
      </w:tr>
      <w:tr w:rsidR="00B04368">
        <w:tc>
          <w:tcPr>
            <w:tcW w:w="2942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До 1</w:t>
            </w:r>
          </w:p>
        </w:tc>
        <w:tc>
          <w:tcPr>
            <w:tcW w:w="3240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0,4</w:t>
            </w:r>
          </w:p>
        </w:tc>
        <w:tc>
          <w:tcPr>
            <w:tcW w:w="3420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0,4</w:t>
            </w:r>
          </w:p>
        </w:tc>
      </w:tr>
      <w:tr w:rsidR="00B04368">
        <w:tc>
          <w:tcPr>
            <w:tcW w:w="2942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От 1 до 3</w:t>
            </w:r>
          </w:p>
        </w:tc>
        <w:tc>
          <w:tcPr>
            <w:tcW w:w="3240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0,3</w:t>
            </w:r>
          </w:p>
        </w:tc>
        <w:tc>
          <w:tcPr>
            <w:tcW w:w="3420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0,3</w:t>
            </w:r>
          </w:p>
        </w:tc>
      </w:tr>
      <w:tr w:rsidR="00B04368">
        <w:tc>
          <w:tcPr>
            <w:tcW w:w="2942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От 3 до 5</w:t>
            </w:r>
          </w:p>
        </w:tc>
        <w:tc>
          <w:tcPr>
            <w:tcW w:w="3240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0,2</w:t>
            </w:r>
          </w:p>
        </w:tc>
        <w:tc>
          <w:tcPr>
            <w:tcW w:w="3420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0,2</w:t>
            </w:r>
          </w:p>
        </w:tc>
      </w:tr>
      <w:tr w:rsidR="00B04368">
        <w:tc>
          <w:tcPr>
            <w:tcW w:w="2942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От 5</w:t>
            </w:r>
          </w:p>
        </w:tc>
        <w:tc>
          <w:tcPr>
            <w:tcW w:w="3240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3420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0,1</w:t>
            </w:r>
          </w:p>
        </w:tc>
      </w:tr>
    </w:tbl>
    <w:p w:rsidR="00B04368" w:rsidRDefault="00B04368">
      <w:pPr>
        <w:pStyle w:val="EcoNormal"/>
        <w:jc w:val="both"/>
      </w:pPr>
    </w:p>
    <w:p w:rsidR="00B04368" w:rsidRDefault="00B04368">
      <w:pPr>
        <w:pStyle w:val="EcoNormal"/>
        <w:ind w:firstLine="540"/>
        <w:jc w:val="both"/>
      </w:pPr>
      <w:r>
        <w:t>Примечание. При отсутствии данных применять значение оценки влияния фактора = 0,1.</w:t>
      </w:r>
    </w:p>
    <w:p w:rsidR="00B04368" w:rsidRDefault="00B04368">
      <w:pPr>
        <w:pStyle w:val="EcoNormal"/>
        <w:jc w:val="both"/>
      </w:pPr>
    </w:p>
    <w:p w:rsidR="00B04368" w:rsidRDefault="00B04368">
      <w:pPr>
        <w:pStyle w:val="EcoNormal"/>
        <w:jc w:val="center"/>
        <w:outlineLvl w:val="3"/>
      </w:pPr>
      <w:r>
        <w:t>Продолжительность работ</w:t>
      </w:r>
    </w:p>
    <w:p w:rsidR="00B04368" w:rsidRDefault="00B04368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776"/>
        <w:gridCol w:w="2306"/>
        <w:gridCol w:w="2520"/>
      </w:tblGrid>
      <w:tr w:rsidR="00B04368">
        <w:tc>
          <w:tcPr>
            <w:tcW w:w="4776" w:type="dxa"/>
            <w:vMerge w:val="restart"/>
          </w:tcPr>
          <w:p w:rsidR="00B04368" w:rsidRDefault="00B04368">
            <w:pPr>
              <w:pStyle w:val="EcoNormal"/>
              <w:jc w:val="center"/>
            </w:pPr>
            <w:r>
              <w:t>Год пользования недрами, исчисленный с квартала, следующего за кварталом, в котором произведена государственная регистрация лицензии на пользование недрами/в государственном реестре работ по геологическому изучению недр зарегистрированы разведочные работы</w:t>
            </w:r>
          </w:p>
        </w:tc>
        <w:tc>
          <w:tcPr>
            <w:tcW w:w="4826" w:type="dxa"/>
            <w:gridSpan w:val="2"/>
          </w:tcPr>
          <w:p w:rsidR="00B04368" w:rsidRDefault="00B04368">
            <w:pPr>
              <w:pStyle w:val="EcoNormal"/>
              <w:jc w:val="center"/>
            </w:pPr>
            <w:r>
              <w:t>Оценка влияния фактора при пользовании недрами в целях</w:t>
            </w:r>
          </w:p>
        </w:tc>
      </w:tr>
      <w:tr w:rsidR="00B04368">
        <w:tc>
          <w:tcPr>
            <w:tcW w:w="4776" w:type="dxa"/>
            <w:vMerge/>
          </w:tcPr>
          <w:p w:rsidR="00B04368" w:rsidRDefault="00B04368"/>
        </w:tc>
        <w:tc>
          <w:tcPr>
            <w:tcW w:w="2306" w:type="dxa"/>
          </w:tcPr>
          <w:p w:rsidR="00B04368" w:rsidRDefault="00B04368">
            <w:pPr>
              <w:pStyle w:val="EcoNormal"/>
              <w:jc w:val="center"/>
            </w:pPr>
            <w:r>
              <w:t>поиска и оценки месторождений полезных ископаемых</w:t>
            </w:r>
          </w:p>
        </w:tc>
        <w:tc>
          <w:tcPr>
            <w:tcW w:w="2520" w:type="dxa"/>
          </w:tcPr>
          <w:p w:rsidR="00B04368" w:rsidRDefault="00B04368">
            <w:pPr>
              <w:pStyle w:val="EcoNormal"/>
              <w:jc w:val="center"/>
            </w:pPr>
            <w:r>
              <w:t>разведки полезных ископаемых</w:t>
            </w:r>
          </w:p>
        </w:tc>
      </w:tr>
      <w:tr w:rsidR="00B04368">
        <w:tc>
          <w:tcPr>
            <w:tcW w:w="4776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1-й год</w:t>
            </w:r>
          </w:p>
        </w:tc>
        <w:tc>
          <w:tcPr>
            <w:tcW w:w="2306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0</w:t>
            </w:r>
          </w:p>
        </w:tc>
        <w:tc>
          <w:tcPr>
            <w:tcW w:w="2520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0</w:t>
            </w:r>
          </w:p>
        </w:tc>
      </w:tr>
      <w:tr w:rsidR="00B04368">
        <w:tc>
          <w:tcPr>
            <w:tcW w:w="4776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2-й год</w:t>
            </w:r>
          </w:p>
        </w:tc>
        <w:tc>
          <w:tcPr>
            <w:tcW w:w="2306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0,03</w:t>
            </w:r>
          </w:p>
        </w:tc>
        <w:tc>
          <w:tcPr>
            <w:tcW w:w="2520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0,03</w:t>
            </w:r>
          </w:p>
        </w:tc>
      </w:tr>
      <w:tr w:rsidR="00B04368">
        <w:tc>
          <w:tcPr>
            <w:tcW w:w="4776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3-й год</w:t>
            </w:r>
          </w:p>
        </w:tc>
        <w:tc>
          <w:tcPr>
            <w:tcW w:w="2306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0,06</w:t>
            </w:r>
          </w:p>
        </w:tc>
        <w:tc>
          <w:tcPr>
            <w:tcW w:w="2520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0,06</w:t>
            </w:r>
          </w:p>
        </w:tc>
      </w:tr>
      <w:tr w:rsidR="00B04368">
        <w:tc>
          <w:tcPr>
            <w:tcW w:w="4776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4-й год</w:t>
            </w:r>
          </w:p>
        </w:tc>
        <w:tc>
          <w:tcPr>
            <w:tcW w:w="2306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0,09</w:t>
            </w:r>
          </w:p>
        </w:tc>
        <w:tc>
          <w:tcPr>
            <w:tcW w:w="2520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0,11</w:t>
            </w:r>
          </w:p>
        </w:tc>
      </w:tr>
      <w:tr w:rsidR="00B04368">
        <w:tc>
          <w:tcPr>
            <w:tcW w:w="4776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5-й год</w:t>
            </w:r>
          </w:p>
        </w:tc>
        <w:tc>
          <w:tcPr>
            <w:tcW w:w="2306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0,12</w:t>
            </w:r>
          </w:p>
        </w:tc>
        <w:tc>
          <w:tcPr>
            <w:tcW w:w="2520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0,16</w:t>
            </w:r>
          </w:p>
        </w:tc>
      </w:tr>
      <w:tr w:rsidR="00B04368">
        <w:tc>
          <w:tcPr>
            <w:tcW w:w="4776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6-й год</w:t>
            </w:r>
          </w:p>
        </w:tc>
        <w:tc>
          <w:tcPr>
            <w:tcW w:w="2306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0,15</w:t>
            </w:r>
          </w:p>
        </w:tc>
        <w:tc>
          <w:tcPr>
            <w:tcW w:w="2520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0,21</w:t>
            </w:r>
          </w:p>
        </w:tc>
      </w:tr>
      <w:tr w:rsidR="00B04368">
        <w:tc>
          <w:tcPr>
            <w:tcW w:w="4776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7-й год</w:t>
            </w:r>
          </w:p>
        </w:tc>
        <w:tc>
          <w:tcPr>
            <w:tcW w:w="2306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0,18</w:t>
            </w:r>
          </w:p>
        </w:tc>
        <w:tc>
          <w:tcPr>
            <w:tcW w:w="2520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0,27</w:t>
            </w:r>
          </w:p>
        </w:tc>
      </w:tr>
      <w:tr w:rsidR="00B04368">
        <w:tc>
          <w:tcPr>
            <w:tcW w:w="4776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lastRenderedPageBreak/>
              <w:t>8-й год</w:t>
            </w:r>
          </w:p>
        </w:tc>
        <w:tc>
          <w:tcPr>
            <w:tcW w:w="2306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0,22</w:t>
            </w:r>
          </w:p>
        </w:tc>
        <w:tc>
          <w:tcPr>
            <w:tcW w:w="2520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-</w:t>
            </w:r>
          </w:p>
        </w:tc>
      </w:tr>
      <w:tr w:rsidR="00B04368">
        <w:tc>
          <w:tcPr>
            <w:tcW w:w="4776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9-й год</w:t>
            </w:r>
          </w:p>
        </w:tc>
        <w:tc>
          <w:tcPr>
            <w:tcW w:w="2306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0,27</w:t>
            </w:r>
          </w:p>
        </w:tc>
        <w:tc>
          <w:tcPr>
            <w:tcW w:w="2520" w:type="dxa"/>
            <w:vAlign w:val="center"/>
          </w:tcPr>
          <w:p w:rsidR="00B04368" w:rsidRDefault="00B04368">
            <w:pPr>
              <w:pStyle w:val="EcoNormal"/>
              <w:jc w:val="center"/>
            </w:pPr>
            <w:r>
              <w:t>-</w:t>
            </w:r>
          </w:p>
        </w:tc>
      </w:tr>
    </w:tbl>
    <w:p w:rsidR="00B04368" w:rsidRDefault="00B04368">
      <w:pPr>
        <w:pStyle w:val="EcoNormal"/>
        <w:jc w:val="both"/>
      </w:pPr>
    </w:p>
    <w:p w:rsidR="00B04368" w:rsidRDefault="00B04368">
      <w:pPr>
        <w:pStyle w:val="EcoNormal"/>
        <w:jc w:val="both"/>
      </w:pPr>
    </w:p>
    <w:p w:rsidR="00B04368" w:rsidRDefault="00B04368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006D31" w:rsidRDefault="00006D3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B0436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B0436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B04368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