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427CAD" w14:textId="77777777" w:rsidR="00DB570F" w:rsidRDefault="00DB570F" w:rsidP="00DB570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26 июня 2012 года N 59-ЗАО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регулировании отдельных отношений в области охоты и сохранения охотничьих ресурсов на территории Ямало-Ненецкого автономного округа</w:t>
      </w:r>
    </w:p>
    <w:p w14:paraId="66B5E38B" w14:textId="77777777" w:rsidR="00DB570F" w:rsidRDefault="00DB570F" w:rsidP="00DB57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 Законов ЯНАО от 27.11.2018 N 96-ЗАО, от 24.12.2018 N 126-ЗАО, от 06.10.2020 N 110-ЗАО)</w:t>
      </w:r>
    </w:p>
    <w:p w14:paraId="6AE73E82" w14:textId="77777777" w:rsidR="00DB570F" w:rsidRDefault="00DB570F" w:rsidP="00DB570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Законодательным Собранием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15 июня 2012 г.</w:t>
      </w:r>
    </w:p>
    <w:p w14:paraId="4455FA76" w14:textId="77777777" w:rsidR="00DB570F" w:rsidRDefault="00DB570F" w:rsidP="00DB570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Предмет регулирования настоящего Закона</w:t>
      </w:r>
    </w:p>
    <w:p w14:paraId="317656D0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ED2A27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 (далее - Федеральный закон "Об охоте и о сохранении охотничьих ресурсов и о внесении изменений в отдельные законодательные акты Российской Федерации") регулирует отдельные отношения в области охоты и сохранения охотничьих ресурсов на территории Ямало-Ненецкого автономного округа (далее - автономный округ).</w:t>
      </w:r>
      <w:r>
        <w:rPr>
          <w:rFonts w:ascii="Arial" w:hAnsi="Arial" w:cs="Arial"/>
          <w:color w:val="444444"/>
        </w:rPr>
        <w:br/>
      </w:r>
    </w:p>
    <w:p w14:paraId="5C76E3AC" w14:textId="77777777" w:rsidR="00DB570F" w:rsidRDefault="00DB570F" w:rsidP="00DB570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Основные понятия, используемые в настоящем Законе</w:t>
      </w:r>
    </w:p>
    <w:p w14:paraId="58091E97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E77047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 настоящем Законе используются следующие основные понятия:</w:t>
      </w:r>
      <w:r>
        <w:rPr>
          <w:rFonts w:ascii="Arial" w:hAnsi="Arial" w:cs="Arial"/>
          <w:color w:val="444444"/>
        </w:rPr>
        <w:br/>
      </w:r>
    </w:p>
    <w:p w14:paraId="79CB436F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E6EC0B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пункт приема заявлений - помещение, предназначенное для приема и регистрации заявлений на выдачу разрешений на добычу охотничьих ресурсов в общедоступных охотничьих угодьях;</w:t>
      </w:r>
      <w:r>
        <w:rPr>
          <w:rFonts w:ascii="Arial" w:hAnsi="Arial" w:cs="Arial"/>
          <w:color w:val="444444"/>
        </w:rPr>
        <w:br/>
      </w:r>
    </w:p>
    <w:p w14:paraId="06FA1912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08E6C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 Закона ЯНАО от 27.11.2018 N 96-ЗАО)</w:t>
      </w:r>
      <w:r>
        <w:rPr>
          <w:rFonts w:ascii="Arial" w:hAnsi="Arial" w:cs="Arial"/>
          <w:color w:val="444444"/>
        </w:rPr>
        <w:br/>
      </w:r>
    </w:p>
    <w:p w14:paraId="018498A2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E038B2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пункт выдачи разрешений - помещение, предназначенное для выдачи разрешений на добычу охотничьих ресурсов в общедоступных охотничьих угодьях.</w:t>
      </w:r>
      <w:r>
        <w:rPr>
          <w:rFonts w:ascii="Arial" w:hAnsi="Arial" w:cs="Arial"/>
          <w:color w:val="444444"/>
        </w:rPr>
        <w:br/>
      </w:r>
    </w:p>
    <w:p w14:paraId="72EBE731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1148FF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Иные понятия, используемые в настоящем Законе, применяются в значениях, предусмотренных Федеральным законом "Об охоте и о сохранении охотничьих ресурсов и о внесении изменений в отдельные законодательные акты Российской Федерации".</w:t>
      </w:r>
      <w:r>
        <w:rPr>
          <w:rFonts w:ascii="Arial" w:hAnsi="Arial" w:cs="Arial"/>
          <w:color w:val="444444"/>
        </w:rPr>
        <w:br/>
      </w:r>
    </w:p>
    <w:p w14:paraId="352A44C4" w14:textId="77777777" w:rsidR="00DB570F" w:rsidRDefault="00DB570F" w:rsidP="00DB570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Охотничьи ресурсы в автономном округе</w:t>
      </w:r>
    </w:p>
    <w:p w14:paraId="319CDCC9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CECCBB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охотничьим ресурсам в автономном округе относятся обитающие на территории автономного округа охотничьи ресурсы, установленные Федеральным законом "Об охоте и о сохранении охотничьих ресурсов и о внесении изменений в отдельные законодательные акты Российской Федерации", а также золотистая ржанка, галстучник, фифи, перевозчик, круглоносый плавунчик, кулик-воробей, серая ворона, рябинник, пуночка.</w:t>
      </w:r>
      <w:r>
        <w:rPr>
          <w:rFonts w:ascii="Arial" w:hAnsi="Arial" w:cs="Arial"/>
          <w:color w:val="444444"/>
        </w:rPr>
        <w:br/>
      </w:r>
    </w:p>
    <w:p w14:paraId="3D91073D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CF78D0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охотничьим ресурсам, в отношении которых в автономном округе осуществляется промысловая охота, относятся охотничьи ресурсы, предусмотренные частью 1 настоящей статьи.</w:t>
      </w:r>
      <w:r>
        <w:rPr>
          <w:rFonts w:ascii="Arial" w:hAnsi="Arial" w:cs="Arial"/>
          <w:color w:val="444444"/>
        </w:rPr>
        <w:br/>
      </w:r>
    </w:p>
    <w:p w14:paraId="555AB29B" w14:textId="77777777" w:rsidR="00DB570F" w:rsidRDefault="00DB570F" w:rsidP="00DB570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 Распределение разрешений на добычу охотничьих ресурсов в общедоступных охотничьих угодьях</w:t>
      </w:r>
    </w:p>
    <w:p w14:paraId="1382C5A5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E4FC8C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27.11.2018 N 96-ЗАО)</w:t>
      </w:r>
      <w:r>
        <w:rPr>
          <w:rFonts w:ascii="Arial" w:hAnsi="Arial" w:cs="Arial"/>
          <w:color w:val="444444"/>
        </w:rPr>
        <w:br/>
      </w:r>
    </w:p>
    <w:p w14:paraId="5DB943C6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69F69F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Разрешения на добычу охотничьих ресурсов в общедоступных охотничьих угодьях распределяются между физическими лицами, указанными в части 1 статьи 20 Федерального закона "Об охоте и о сохранении охотничьих ресурсов и о внесении изменений в отдельные законодательные акты Российской Федерации" (далее - охотники), исполнительным органом государственной власти автономного округа, определяемым Правительством автономного округа (далее - исполнительный орган).</w:t>
      </w:r>
      <w:r>
        <w:rPr>
          <w:rFonts w:ascii="Arial" w:hAnsi="Arial" w:cs="Arial"/>
          <w:color w:val="444444"/>
        </w:rPr>
        <w:br/>
      </w:r>
    </w:p>
    <w:p w14:paraId="2726F69F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D008D5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Разрешения на добычу охотничьих ресурсов в общедоступных охотничьих угодьях выдаются охотникам в пределах утвержденных лимитов добычи охотничьих ресурсов, квот добычи охотничьих ресурсов и норм допустимой добычи охотничьих ресурсов в день или в сезон на основании заявлений на выдачу разрешений на добычу охотничьих ресурсов в общедоступных охотничьих угодьях в порядке, установленном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73EF8966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770CD5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Распределение разрешений на добычу охотничьих ресурсов в общедоступных охотничьих угодьях, за исключением распределения разрешений на добычу бурого медведя, лося и дикого северного оленя, осуществляется по мере поступления заявлений на выдачу разрешений на добычу охотничьих ресурсов в общедоступных охотничьих угодьях в порядке очередности, </w:t>
      </w:r>
      <w:r>
        <w:rPr>
          <w:rFonts w:ascii="Arial" w:hAnsi="Arial" w:cs="Arial"/>
          <w:color w:val="444444"/>
        </w:rPr>
        <w:lastRenderedPageBreak/>
        <w:t>установленной, исходя из даты и времени регистрации таких заявлений.</w:t>
      </w:r>
      <w:r>
        <w:rPr>
          <w:rFonts w:ascii="Arial" w:hAnsi="Arial" w:cs="Arial"/>
          <w:color w:val="444444"/>
        </w:rPr>
        <w:br/>
      </w:r>
    </w:p>
    <w:p w14:paraId="3D342E1B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D99CC6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Подача заявлений на выдачу разрешений на добычу охотничьих ресурсов в общедоступных охотничьих угодьях, за исключением заявлений на добычу бурого медведя, лося и дикого северного оленя, начинается за 30 календарных дней до начала срока охоты на соответствующий вид охотничьих ресурсов и заканчивается за один день до окончания срока охоты.</w:t>
      </w:r>
      <w:r>
        <w:rPr>
          <w:rFonts w:ascii="Arial" w:hAnsi="Arial" w:cs="Arial"/>
          <w:color w:val="444444"/>
        </w:rPr>
        <w:br/>
      </w:r>
    </w:p>
    <w:p w14:paraId="58601F09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938491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Распределение разрешений на добычу бурого медведя, лося и дикого северного оленя в общедоступных охотничьих угодьях осуществляется с учетом особенностей, предусмотренных статьей 5 настоящего Закона.</w:t>
      </w:r>
      <w:r>
        <w:rPr>
          <w:rFonts w:ascii="Arial" w:hAnsi="Arial" w:cs="Arial"/>
          <w:color w:val="444444"/>
        </w:rPr>
        <w:br/>
      </w:r>
    </w:p>
    <w:p w14:paraId="0851A8E3" w14:textId="77777777" w:rsidR="00DB570F" w:rsidRDefault="00DB570F" w:rsidP="00DB570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5. Особенности распределения разрешений на добычу бурого медведя, лося и дикого северного оленя в общедоступных охотничьих угодьях</w:t>
      </w:r>
    </w:p>
    <w:p w14:paraId="3FC8C9D5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F3C128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27.11.2018 N 96-ЗАО)</w:t>
      </w:r>
      <w:r>
        <w:rPr>
          <w:rFonts w:ascii="Arial" w:hAnsi="Arial" w:cs="Arial"/>
          <w:color w:val="444444"/>
        </w:rPr>
        <w:br/>
      </w:r>
    </w:p>
    <w:p w14:paraId="6645C7A9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099E13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 целях распределения разрешений на добычу бурого медведя, лося и дикого северного оленя в общедоступных охотничьих угодьях охотники представляют заявление об участии в распределении разрешений на добычу бурого медведя, лося и дикого северного оленя (далее - заявление об участии в распределении разрешений), которое должно содержать:</w:t>
      </w:r>
      <w:r>
        <w:rPr>
          <w:rFonts w:ascii="Arial" w:hAnsi="Arial" w:cs="Arial"/>
          <w:color w:val="444444"/>
        </w:rPr>
        <w:br/>
      </w:r>
    </w:p>
    <w:p w14:paraId="72020628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B322C4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фамилию, имя, отчество (при наличии) охотника;</w:t>
      </w:r>
      <w:r>
        <w:rPr>
          <w:rFonts w:ascii="Arial" w:hAnsi="Arial" w:cs="Arial"/>
          <w:color w:val="444444"/>
        </w:rPr>
        <w:br/>
      </w:r>
    </w:p>
    <w:p w14:paraId="3D49AB52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3E34C4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почтовый адрес или адрес электронной почты, номер телефона;</w:t>
      </w:r>
      <w:r>
        <w:rPr>
          <w:rFonts w:ascii="Arial" w:hAnsi="Arial" w:cs="Arial"/>
          <w:color w:val="444444"/>
        </w:rPr>
        <w:br/>
      </w:r>
    </w:p>
    <w:p w14:paraId="437B2416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243482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дату выдачи охотничьего билета единого федерального образца, его учетные серию и номер;</w:t>
      </w:r>
      <w:r>
        <w:rPr>
          <w:rFonts w:ascii="Arial" w:hAnsi="Arial" w:cs="Arial"/>
          <w:color w:val="444444"/>
        </w:rPr>
        <w:br/>
      </w:r>
    </w:p>
    <w:p w14:paraId="15FF5B3C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5BD7E1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наименование муниципального района или муниципального округа в автономном округе, на территории общедоступных охотничьих угодий которого охотник предполагает участвовать в распределении разрешений на добычу охотничьих ресурсов в общедоступных охотничьих угодьях и осуществлять охоту;</w:t>
      </w:r>
      <w:r>
        <w:rPr>
          <w:rFonts w:ascii="Arial" w:hAnsi="Arial" w:cs="Arial"/>
          <w:color w:val="444444"/>
        </w:rPr>
        <w:br/>
      </w:r>
    </w:p>
    <w:p w14:paraId="5E75865D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B07D65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06.10.2020 N 110-ЗАО)</w:t>
      </w:r>
      <w:r>
        <w:rPr>
          <w:rFonts w:ascii="Arial" w:hAnsi="Arial" w:cs="Arial"/>
          <w:color w:val="444444"/>
        </w:rPr>
        <w:br/>
      </w:r>
    </w:p>
    <w:p w14:paraId="56C76B39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695A40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5) вид охотничьих ресурсов, их пол и возраст (если в отношении вида охотничьего ресурса установлены половозрастные группы);</w:t>
      </w:r>
      <w:r>
        <w:rPr>
          <w:rFonts w:ascii="Arial" w:hAnsi="Arial" w:cs="Arial"/>
          <w:color w:val="444444"/>
        </w:rPr>
        <w:br/>
      </w:r>
    </w:p>
    <w:p w14:paraId="53B81C58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2446AA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информацию об участии охотника в период с 01 апреля прошедшего календарного года до 01 апреля текущего календарного года в мероприятиях (при участии в таких мероприятиях):</w:t>
      </w:r>
      <w:r>
        <w:rPr>
          <w:rFonts w:ascii="Arial" w:hAnsi="Arial" w:cs="Arial"/>
          <w:color w:val="444444"/>
        </w:rPr>
        <w:br/>
      </w:r>
    </w:p>
    <w:p w14:paraId="5FB7DAC5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50B0CD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 определению численности охотничьих ресурсов в общедоступных охотничьих угодьях;</w:t>
      </w:r>
      <w:r>
        <w:rPr>
          <w:rFonts w:ascii="Arial" w:hAnsi="Arial" w:cs="Arial"/>
          <w:color w:val="444444"/>
        </w:rPr>
        <w:br/>
      </w:r>
    </w:p>
    <w:p w14:paraId="519B7E44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47CFB8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по регулированию численности охотничьих ресурсов в общедоступных охотничьих угодьях;</w:t>
      </w:r>
      <w:r>
        <w:rPr>
          <w:rFonts w:ascii="Arial" w:hAnsi="Arial" w:cs="Arial"/>
          <w:color w:val="444444"/>
        </w:rPr>
        <w:br/>
      </w:r>
    </w:p>
    <w:p w14:paraId="3EF89797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DC5C36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по сохранению охотничьих ресурсов и среды их обитания в общедоступных охотничьих угодьях;</w:t>
      </w:r>
      <w:r>
        <w:rPr>
          <w:rFonts w:ascii="Arial" w:hAnsi="Arial" w:cs="Arial"/>
          <w:color w:val="444444"/>
        </w:rPr>
        <w:br/>
      </w:r>
    </w:p>
    <w:p w14:paraId="5DCA7415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D43C1F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по поддержанию и увеличению численности охотничьих ресурсов в общедоступных охотничьих угодьях;</w:t>
      </w:r>
      <w:r>
        <w:rPr>
          <w:rFonts w:ascii="Arial" w:hAnsi="Arial" w:cs="Arial"/>
          <w:color w:val="444444"/>
        </w:rPr>
        <w:br/>
      </w:r>
    </w:p>
    <w:p w14:paraId="7B1339B7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9A141F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согласие на обработку персональных данных охотника.</w:t>
      </w:r>
      <w:r>
        <w:rPr>
          <w:rFonts w:ascii="Arial" w:hAnsi="Arial" w:cs="Arial"/>
          <w:color w:val="444444"/>
        </w:rPr>
        <w:br/>
      </w:r>
    </w:p>
    <w:p w14:paraId="5102BFCE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8513CE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Заявления об участии в распределении разрешений подаются:</w:t>
      </w:r>
      <w:r>
        <w:rPr>
          <w:rFonts w:ascii="Arial" w:hAnsi="Arial" w:cs="Arial"/>
          <w:color w:val="444444"/>
        </w:rPr>
        <w:br/>
      </w:r>
    </w:p>
    <w:p w14:paraId="1955BB1A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F79244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 10 января по 09 февраля на добычу бурого медведя в текущем сезоне охоты;</w:t>
      </w:r>
      <w:r>
        <w:rPr>
          <w:rFonts w:ascii="Arial" w:hAnsi="Arial" w:cs="Arial"/>
          <w:color w:val="444444"/>
        </w:rPr>
        <w:br/>
      </w:r>
    </w:p>
    <w:p w14:paraId="1CB2E890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909616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 01 апреля по 30 апреля текущего года - на добычу бурого медведя, лося и дикого северного оленя на предстоящий сезон охоты.</w:t>
      </w:r>
      <w:r>
        <w:rPr>
          <w:rFonts w:ascii="Arial" w:hAnsi="Arial" w:cs="Arial"/>
          <w:color w:val="444444"/>
        </w:rPr>
        <w:br/>
      </w:r>
    </w:p>
    <w:p w14:paraId="43DA7F31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4E534B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Охотник вправе подать не более одного заявления об участии в распределении разрешений на добычу не более одной особи бурого медведя, лося и дикого северного оленя не более чем в одном общедоступном охотничьем угодье на территории муниципального района или муниципального округа в автономном округе в течение сезона охоты в отношении каждого из указанных видов вне зависимости от пола и возраста видов охотничьих ресурсов, для которых установлены половозрастные группы и сроки охоты.</w:t>
      </w:r>
      <w:r>
        <w:rPr>
          <w:rFonts w:ascii="Arial" w:hAnsi="Arial" w:cs="Arial"/>
          <w:color w:val="444444"/>
        </w:rPr>
        <w:br/>
      </w:r>
    </w:p>
    <w:p w14:paraId="47DE2B94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3AA39C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06.10.2020 N 110-ЗАО)</w:t>
      </w:r>
      <w:r>
        <w:rPr>
          <w:rFonts w:ascii="Arial" w:hAnsi="Arial" w:cs="Arial"/>
          <w:color w:val="444444"/>
        </w:rPr>
        <w:br/>
      </w:r>
    </w:p>
    <w:p w14:paraId="31A35F28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863FF2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 Заявление об участии в распределении разрешений представляется охотником в исполнительный орган:</w:t>
      </w:r>
      <w:r>
        <w:rPr>
          <w:rFonts w:ascii="Arial" w:hAnsi="Arial" w:cs="Arial"/>
          <w:color w:val="444444"/>
        </w:rPr>
        <w:br/>
      </w:r>
    </w:p>
    <w:p w14:paraId="30500C85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FD097C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лично или его представителем;</w:t>
      </w:r>
      <w:r>
        <w:rPr>
          <w:rFonts w:ascii="Arial" w:hAnsi="Arial" w:cs="Arial"/>
          <w:color w:val="444444"/>
        </w:rPr>
        <w:br/>
      </w:r>
    </w:p>
    <w:p w14:paraId="4B61923E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343733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электронной форме от заявителя, прошедшего процедуру регистрации и авторизации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форме", через государственную информационную систему "Региональный портал государственных и муниципальных услуг (функций) Ямало-Ненецкого автономного округа" (http://www.pgu-yamal.ru) и (или) федеральную государственную информационную систему "Единый портал государственных и муниципальных услуг (функций)" (http://www.gosuslugi.ru);</w:t>
      </w:r>
      <w:r>
        <w:rPr>
          <w:rFonts w:ascii="Arial" w:hAnsi="Arial" w:cs="Arial"/>
          <w:color w:val="444444"/>
        </w:rPr>
        <w:br/>
      </w:r>
    </w:p>
    <w:p w14:paraId="6336A832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DF6BFE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заказным почтовым отправлением.</w:t>
      </w:r>
      <w:r>
        <w:rPr>
          <w:rFonts w:ascii="Arial" w:hAnsi="Arial" w:cs="Arial"/>
          <w:color w:val="444444"/>
        </w:rPr>
        <w:br/>
      </w:r>
    </w:p>
    <w:p w14:paraId="103EC359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D8D92A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Заявления об участии в распределении разрешений регистрируются в исполнительном органе и вносятся в журнал регистрации заявлений в день их поступления с указанием даты подачи заявления.</w:t>
      </w:r>
      <w:r>
        <w:rPr>
          <w:rFonts w:ascii="Arial" w:hAnsi="Arial" w:cs="Arial"/>
          <w:color w:val="444444"/>
        </w:rPr>
        <w:br/>
      </w:r>
    </w:p>
    <w:p w14:paraId="6410040F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78B18D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Датой подачи заявления об участии в распределении разрешений способом, указанным в пункте 3 части 4 настоящей статьи, считается дата сдачи указанного заявления в организацию связи.</w:t>
      </w:r>
      <w:r>
        <w:rPr>
          <w:rFonts w:ascii="Arial" w:hAnsi="Arial" w:cs="Arial"/>
          <w:color w:val="444444"/>
        </w:rPr>
        <w:br/>
      </w:r>
    </w:p>
    <w:p w14:paraId="124062F7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1510E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 случае несоблюдения требований частей 1, 2 настоящей статьи исполнительный орган принимает решение об отказе в допуске к распределению разрешений на добычу бурого медведя, лося и дикого северного оленя и информирует об этом охотника путем размещения соответствующей информации на официальном сайте исполнительного органа в информационно-телекоммуникационной сети "Интернет" и любым доступным способом в течение семи рабочих дней после дня подачи заявления, указанного в части 1 настоящей статьи.</w:t>
      </w:r>
      <w:r>
        <w:rPr>
          <w:rFonts w:ascii="Arial" w:hAnsi="Arial" w:cs="Arial"/>
          <w:color w:val="444444"/>
        </w:rPr>
        <w:br/>
      </w:r>
    </w:p>
    <w:p w14:paraId="582F702F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EF9CB5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Распределение разрешений на добычу бурого медведя, лося и дикого северного оленя осуществляется в пределах утвержденных лимитов добычи охотничьих ресурсов и квот добычи охотничьих ресурсов в отношении общедоступного охотничьего угодья на территории муниципального района или муниципального округа в автономном округе (далее - квоты добычи).</w:t>
      </w:r>
      <w:r>
        <w:rPr>
          <w:rFonts w:ascii="Arial" w:hAnsi="Arial" w:cs="Arial"/>
          <w:color w:val="444444"/>
        </w:rPr>
        <w:br/>
      </w:r>
    </w:p>
    <w:p w14:paraId="395B993B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123F3C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06.10.2020 N 110-ЗАО)</w:t>
      </w:r>
      <w:r>
        <w:rPr>
          <w:rFonts w:ascii="Arial" w:hAnsi="Arial" w:cs="Arial"/>
          <w:color w:val="444444"/>
        </w:rPr>
        <w:br/>
      </w:r>
    </w:p>
    <w:p w14:paraId="79108941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6E861E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Распределение разрешений на добычу бурого медведя, лося и дикого северного оленя производится в порядке очередности или посредством случайной выборки на основании заявлений охотников об участии в распределении разрешений с учетом их участия в мероприятиях, указанных в пункте 6 части 1 настоящей статьи.</w:t>
      </w:r>
      <w:r>
        <w:rPr>
          <w:rFonts w:ascii="Arial" w:hAnsi="Arial" w:cs="Arial"/>
          <w:color w:val="444444"/>
        </w:rPr>
        <w:br/>
      </w:r>
    </w:p>
    <w:p w14:paraId="4D1BD7FB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39A308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Распределение разрешений на добычу бурого медведя, лося и дикого северного оленя на предстоящий сезон охоты производится в пределах квот добычи не позднее десяти рабочих дней со дня утверждения квот добычи. Распределение разрешений на добычу бурого медведя в текущем сезоне охоты производится на основании квот добычи не позднее двадцати пяти рабочих дней со дня окончания приема заявлений об участии в распределении разрешений на добычу бурого медведя.</w:t>
      </w:r>
      <w:r>
        <w:rPr>
          <w:rFonts w:ascii="Arial" w:hAnsi="Arial" w:cs="Arial"/>
          <w:color w:val="444444"/>
        </w:rPr>
        <w:br/>
      </w:r>
    </w:p>
    <w:p w14:paraId="7E30447E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086C5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Распределение разрешений на добычу бурого медведя, лося и дикого северного оленя производится в отношении общедоступного охотничьего угодья на территории муниципального района или муниципального округа в автономном округе в следующей пропорции:</w:t>
      </w:r>
      <w:r>
        <w:rPr>
          <w:rFonts w:ascii="Arial" w:hAnsi="Arial" w:cs="Arial"/>
          <w:color w:val="444444"/>
        </w:rPr>
        <w:br/>
      </w:r>
    </w:p>
    <w:p w14:paraId="20FEE3BF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73E85B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06.10.2020 N 110-ЗАО)</w:t>
      </w:r>
      <w:r>
        <w:rPr>
          <w:rFonts w:ascii="Arial" w:hAnsi="Arial" w:cs="Arial"/>
          <w:color w:val="444444"/>
        </w:rPr>
        <w:br/>
      </w:r>
    </w:p>
    <w:p w14:paraId="12A5E053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9B8DF9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20 процентов разрешений на добычу бурого медведя, лося и дикого северного оленя распределяется между охотниками, участвовавшими в проведении в общедоступных охотничьих угодьях мероприятий, указанных в пункте 6 части 1 настоящей статьи;</w:t>
      </w:r>
      <w:r>
        <w:rPr>
          <w:rFonts w:ascii="Arial" w:hAnsi="Arial" w:cs="Arial"/>
          <w:color w:val="444444"/>
        </w:rPr>
        <w:br/>
      </w:r>
    </w:p>
    <w:p w14:paraId="6AA23750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30D832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80 процентов разрешений на добычу бурого медведя, лося и дикого северного оленя распределяется между иными охотниками, не участвовавшими в проведении в общедоступных охотничьих угодьях мероприятий, указанных в пункте 6 части 1 настоящей статьи.</w:t>
      </w:r>
      <w:r>
        <w:rPr>
          <w:rFonts w:ascii="Arial" w:hAnsi="Arial" w:cs="Arial"/>
          <w:color w:val="444444"/>
        </w:rPr>
        <w:br/>
      </w:r>
    </w:p>
    <w:p w14:paraId="28E2DD31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4C715A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Если полученное в соответствии с пунктами 1 и 2 части 10 настоящей статьи количество разрешений на добычу бурого медведя, лося и дикого северного оленя выражается дробным числом, то количество указанных разрешений, полученное при распределении согласно пункту 1 части 10 настоящей статьи, округляется до целого числа в большую сторону, а количество указанных разрешений, полученное при распределении согласно пункту 2 части 10 настоящей статьи, округляется до целого числа в меньшую сторону.</w:t>
      </w:r>
      <w:r>
        <w:rPr>
          <w:rFonts w:ascii="Arial" w:hAnsi="Arial" w:cs="Arial"/>
          <w:color w:val="444444"/>
        </w:rPr>
        <w:br/>
      </w:r>
    </w:p>
    <w:p w14:paraId="69A54749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ACA133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Участие охотника в мероприятиях, указанных в пункте 6 части 1 настоящей статьи, подтверждается документом, установленным исполнительным органом, который прилагается к заявлению об участии в распределении разрешений, предусмотренному частью 1 настоящей статьи.</w:t>
      </w:r>
      <w:r>
        <w:rPr>
          <w:rFonts w:ascii="Arial" w:hAnsi="Arial" w:cs="Arial"/>
          <w:color w:val="444444"/>
        </w:rPr>
        <w:br/>
      </w:r>
    </w:p>
    <w:p w14:paraId="6DB0E7A8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B418D5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Порядок привлечения охотников к проведению в общедоступных охотничьих угодьях мероприятий, указанных в пункте 6 части 1 настоящей статьи, определяется исполнительным органом.</w:t>
      </w:r>
      <w:r>
        <w:rPr>
          <w:rFonts w:ascii="Arial" w:hAnsi="Arial" w:cs="Arial"/>
          <w:color w:val="444444"/>
        </w:rPr>
        <w:br/>
      </w:r>
    </w:p>
    <w:p w14:paraId="36298683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1A0EFA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Охотники, участвовавшие в проведении мероприятий, указанных в пункте 6 части 1 настоящей статьи, на территории общедоступных охотничьих угодий, вправе подать одно заявление об участии в распределении разрешений между охотниками, указанными в пункте 1 части 10 настоящей статьи, в отношении общедоступных охотничьих угодий только одного муниципального района или муниципального округа в автономном округе, на территории которого охотник участвовал в проведении соответствующих мероприятий.</w:t>
      </w:r>
      <w:r>
        <w:rPr>
          <w:rFonts w:ascii="Arial" w:hAnsi="Arial" w:cs="Arial"/>
          <w:color w:val="444444"/>
        </w:rPr>
        <w:br/>
      </w:r>
    </w:p>
    <w:p w14:paraId="6CBD8048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EF46EA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06.10.2020 N 110-ЗАО)</w:t>
      </w:r>
      <w:r>
        <w:rPr>
          <w:rFonts w:ascii="Arial" w:hAnsi="Arial" w:cs="Arial"/>
          <w:color w:val="444444"/>
        </w:rPr>
        <w:br/>
      </w:r>
    </w:p>
    <w:p w14:paraId="4280431E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9BB402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Распределение разрешений на добычу бурого медведя, лося и дикого северного оленя проводится раздельно в отношении охотников, указанных в пункте 1 части 10 настоящей статьи, и охотников, указанных в пункте 2 части 10 настоящей статьи.</w:t>
      </w:r>
      <w:r>
        <w:rPr>
          <w:rFonts w:ascii="Arial" w:hAnsi="Arial" w:cs="Arial"/>
          <w:color w:val="444444"/>
        </w:rPr>
        <w:br/>
      </w:r>
    </w:p>
    <w:p w14:paraId="69558FF5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80A50A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Разрешения на добычу бурого медведя, лося и дикого северного оленя распределяются в порядке очередности, если количество поданных заявлений об участии в распределении разрешений на день окончания приема заявлений не превышает квоты добычи, а также количества разрешений, распределяемых в соответствии с пунктами 1 и 2 части 10 настоящей статьи.</w:t>
      </w:r>
      <w:r>
        <w:rPr>
          <w:rFonts w:ascii="Arial" w:hAnsi="Arial" w:cs="Arial"/>
          <w:color w:val="444444"/>
        </w:rPr>
        <w:br/>
      </w:r>
    </w:p>
    <w:p w14:paraId="6C482DD9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13C708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этом случае очередность распределения разрешений на добычу бурого медведя, лося и дикого северного оленя устанавливается, исходя из даты подачи заявлений об участии в распределении разрешений.</w:t>
      </w:r>
      <w:r>
        <w:rPr>
          <w:rFonts w:ascii="Arial" w:hAnsi="Arial" w:cs="Arial"/>
          <w:color w:val="444444"/>
        </w:rPr>
        <w:br/>
      </w:r>
    </w:p>
    <w:p w14:paraId="19C758A6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A08A83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Разрешения на добычу бурого медведя, лося и дикого северного оленя распределяются посредством случайной выборки, если количество поданных заявлений об участии в распределении разрешений превышает квоту добычи, а также количество разрешений, распределяемых в соответствии с пунктами 1 и 2 части 10 настоящей статьи.</w:t>
      </w:r>
      <w:r>
        <w:rPr>
          <w:rFonts w:ascii="Arial" w:hAnsi="Arial" w:cs="Arial"/>
          <w:color w:val="444444"/>
        </w:rPr>
        <w:br/>
      </w:r>
    </w:p>
    <w:p w14:paraId="1CEE6B87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9FECC5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Порядок проведения случайной выборки определяется Правительством автономного округа.</w:t>
      </w:r>
      <w:r>
        <w:rPr>
          <w:rFonts w:ascii="Arial" w:hAnsi="Arial" w:cs="Arial"/>
          <w:color w:val="444444"/>
        </w:rPr>
        <w:br/>
      </w:r>
    </w:p>
    <w:p w14:paraId="6F4AE30F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F597B6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18. При распределении разрешений на добычу бурого медведя, лося и дикого северного оленя посредством случайной выборки, наряду с охотниками, получившими право на добычу бурого медведя, лося и дикого северного оленя, дополнительно также посредством случайной выборки определяются охотники, подавшие заявления на распределение разрешений, которые могут приобрести </w:t>
      </w:r>
      <w:r>
        <w:rPr>
          <w:rFonts w:ascii="Arial" w:hAnsi="Arial" w:cs="Arial"/>
          <w:color w:val="444444"/>
        </w:rPr>
        <w:lastRenderedPageBreak/>
        <w:t>право на получение разрешений на добычу бурого медведя, лося и дикого северного оленя в случае утраты этого права другими охотниками в соответствии с частью 20 настоящей статьи.</w:t>
      </w:r>
      <w:r>
        <w:rPr>
          <w:rFonts w:ascii="Arial" w:hAnsi="Arial" w:cs="Arial"/>
          <w:color w:val="444444"/>
        </w:rPr>
        <w:br/>
      </w:r>
    </w:p>
    <w:p w14:paraId="36C9D74B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55183B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Сведения об охотниках, которые по результатам распределения разрешений на добычу бурого медведя, лося и дикого северного оленя приобрели право на получение указанных разрешений или могут приобрести такое право, сведения о местонахождении пунктов выдачи разрешений и режиме их работы с указанием территории обслуживания размещаются на официальном сайте исполнительного органа в информационно-телекоммуникационной сети "Интернет" и любым доступным способом не позднее десяти рабочих дней после дня окончания распределения разрешений на добычу бурого медведя, лося и дикого северного оленя.</w:t>
      </w:r>
      <w:r>
        <w:rPr>
          <w:rFonts w:ascii="Arial" w:hAnsi="Arial" w:cs="Arial"/>
          <w:color w:val="444444"/>
        </w:rPr>
        <w:br/>
      </w:r>
    </w:p>
    <w:p w14:paraId="738F9447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3869F1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В случае если по истечении 20 календарных дней после дня размещения сведений об охотниках, которые по результатам распределения разрешений на добычу бурого медведя, лося и дикого северного оленя приобрели право на получение таких разрешений, на официальном сайте исполнительного органа в информационно-телекоммуникационной сети "Интернет" охотник не реализовал свое право на получение разрешения на добычу бурого медведя, лося и дикого северного оленя путем подачи заявления на выдачу разрешения на добычу охотничьих ресурсов в общедоступных охотничьих угодьях или по результатам рассмотрения заявления на выдачу разрешения на добычу охотничьих ресурсов в общедоступных охотничьих угодьях ему было отказано в выдаче разрешения на добычу бурого медведя, лося и дикого северного оленя, то данное право охотником утрачивается и соответствующие разрешения на добычу бурого медведя, лося и дикого северного оленя считаются нераспределенными.</w:t>
      </w:r>
      <w:r>
        <w:rPr>
          <w:rFonts w:ascii="Arial" w:hAnsi="Arial" w:cs="Arial"/>
          <w:color w:val="444444"/>
        </w:rPr>
        <w:br/>
      </w:r>
    </w:p>
    <w:p w14:paraId="1D453006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50181F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Исполнительный орган в течение пяти рабочих дней после дня утраты охотником права на получение разрешения на добычу бурого медведя, лося и дикого северного оленя, приобретенного по результатам распределения указанных разрешений, любым доступным способом уведомляет охотников, участвовавших в распределении, в порядке очередности, установленной посредством случайной выборки в соответствии с требованиями частей 15 и 18 настоящей статьи, о возникновении права на получение разрешения на добычу бурого медведя, лося и дикого северного оленя.</w:t>
      </w:r>
      <w:r>
        <w:rPr>
          <w:rFonts w:ascii="Arial" w:hAnsi="Arial" w:cs="Arial"/>
          <w:color w:val="444444"/>
        </w:rPr>
        <w:br/>
      </w:r>
    </w:p>
    <w:p w14:paraId="55BA0ABE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3AFEAE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Данное право реализуется охотником путем подачи заявления на выдачу разрешения на добычу охотничьих ресурсов в общедоступных охотничьих угодьях в течение пяти календарных дней после дня уведомления. В случае если по истечении этого срока право на получение разрешения на добычу бурого медведя, лося и дикого северного оленя охотником не было реализовано, указанное разрешение считается нераспределенным и предлагается следующему охотнику в порядке очередности, установленной посредством случайной выборки в соответствии с частями 15 и 18 настоящей статьи.</w:t>
      </w:r>
      <w:r>
        <w:rPr>
          <w:rFonts w:ascii="Arial" w:hAnsi="Arial" w:cs="Arial"/>
          <w:color w:val="444444"/>
        </w:rPr>
        <w:br/>
      </w:r>
    </w:p>
    <w:p w14:paraId="3B493A05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439F5F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22. Разрешения на добычу бурого медведя, лося и дикого северного оленя, не распределенные в порядке, установленном частью 21 настоящей статьи, между охотниками, указанными в пункте 1 части 10 настоящей статьи, распределяются между охотниками, указанными в пункте 2 части 10 настоящей статьи.</w:t>
      </w:r>
      <w:r>
        <w:rPr>
          <w:rFonts w:ascii="Arial" w:hAnsi="Arial" w:cs="Arial"/>
          <w:color w:val="444444"/>
        </w:rPr>
        <w:br/>
      </w:r>
    </w:p>
    <w:p w14:paraId="5445B2E9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ED85B8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Для распределения разрешений на добычу бурого медведя, лося и дикого северного оленя, оставшихся нераспределенными после окончания процедур, предусмотренных частью 16 или частями 21 и 22 настоящей статьи, исполнительный орган принимает решение о распределении указанных разрешений в порядке очередности на основании заявлений на выдачу разрешений на добычу охотничьих ресурсов в общедоступных охотничьих угодьях и устанавливает срок принятия таких заявлений.</w:t>
      </w:r>
      <w:r>
        <w:rPr>
          <w:rFonts w:ascii="Arial" w:hAnsi="Arial" w:cs="Arial"/>
          <w:color w:val="444444"/>
        </w:rPr>
        <w:br/>
      </w:r>
    </w:p>
    <w:p w14:paraId="032F8BA2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0C8AA3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Информация о нераспределенных разрешениях на добычу бурого медведя, лося и дикого северного оленя и сроках подачи охотниками заявлений на выдачу разрешений на добычу охотничьих ресурсов в общедоступных охотничьих угодьях размещается на официальном сайте исполнительного органа в информационно-телекоммуникационной сети "Интернет" в течение трех рабочих дней после дня принятия решения о распределении разрешений на добычу бурого медведя, лося и дикого северного оленя в указанном порядке.</w:t>
      </w:r>
      <w:r>
        <w:rPr>
          <w:rFonts w:ascii="Arial" w:hAnsi="Arial" w:cs="Arial"/>
          <w:color w:val="444444"/>
        </w:rPr>
        <w:br/>
      </w:r>
    </w:p>
    <w:p w14:paraId="462F5F51" w14:textId="77777777" w:rsidR="00DB570F" w:rsidRDefault="00DB570F" w:rsidP="00DB570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6. Вступление в силу настоящего Закона</w:t>
      </w:r>
    </w:p>
    <w:p w14:paraId="22687793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01161" w14:textId="77777777" w:rsidR="00DB570F" w:rsidRDefault="00DB570F" w:rsidP="00DB57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по истечении десяти дней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0F677AF3" w14:textId="77777777" w:rsidR="00DB570F" w:rsidRDefault="00DB570F" w:rsidP="00DB570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Ямало-Ненецкого</w:t>
      </w:r>
      <w:r>
        <w:rPr>
          <w:rFonts w:ascii="Arial" w:hAnsi="Arial" w:cs="Arial"/>
          <w:color w:val="444444"/>
        </w:rPr>
        <w:br/>
        <w:t>автономного округа</w:t>
      </w:r>
      <w:r>
        <w:rPr>
          <w:rFonts w:ascii="Arial" w:hAnsi="Arial" w:cs="Arial"/>
          <w:color w:val="444444"/>
        </w:rPr>
        <w:br/>
        <w:t>Д.Н.КОБЫЛКИН</w:t>
      </w:r>
    </w:p>
    <w:p w14:paraId="0FE48569" w14:textId="77777777" w:rsidR="00DB570F" w:rsidRDefault="00DB570F" w:rsidP="00DB57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г. Салехард</w:t>
      </w:r>
      <w:r>
        <w:rPr>
          <w:rFonts w:ascii="Arial" w:hAnsi="Arial" w:cs="Arial"/>
          <w:color w:val="444444"/>
        </w:rPr>
        <w:br/>
        <w:t>26 июня 2012 г.</w:t>
      </w:r>
      <w:r>
        <w:rPr>
          <w:rFonts w:ascii="Arial" w:hAnsi="Arial" w:cs="Arial"/>
          <w:color w:val="444444"/>
        </w:rPr>
        <w:br/>
        <w:t>N 59-ЗАО</w:t>
      </w:r>
    </w:p>
    <w:p w14:paraId="4CDECB69" w14:textId="77777777" w:rsidR="00DB570F" w:rsidRDefault="00DB570F" w:rsidP="00DB570F"/>
    <w:p w14:paraId="05586A06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B570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B57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57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B5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