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EAEAB2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03 ноября 2011 года N 71-ЗО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регулировании отдельных отношений в области охоты и сохранения охотничьих ресурсов в Тверской области</w:t>
      </w:r>
    </w:p>
    <w:p w14:paraId="513AA28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Законов Тверской области от 06.02.2013 N 4-ЗО, от 03.10.2013 N 79-ЗО, от 02.07.2014 N 54-ЗО, от 09.11.2018 N 53-ЗО)</w:t>
      </w:r>
      <w:r>
        <w:rPr>
          <w:rFonts w:ascii="Arial" w:hAnsi="Arial" w:cs="Arial"/>
          <w:color w:val="444444"/>
        </w:rPr>
        <w:br/>
      </w:r>
    </w:p>
    <w:p w14:paraId="517901CF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 Законодательным Собранием</w:t>
      </w:r>
      <w:r>
        <w:rPr>
          <w:rFonts w:ascii="Arial" w:hAnsi="Arial" w:cs="Arial"/>
          <w:color w:val="444444"/>
        </w:rPr>
        <w:br/>
        <w:t>Тверской области 27 октября 2011 года</w:t>
      </w:r>
    </w:p>
    <w:p w14:paraId="2A473EF6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A473844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 федеральным законодательством регулирует отдельные отношения, возникающие в связи с осуществлением видов деятельности в сфере охотничьего хозяйства на территории Тверской области (далее - отношения в области охоты и сохранения охотничьих ресурсов).</w:t>
      </w:r>
      <w:r>
        <w:rPr>
          <w:rFonts w:ascii="Arial" w:hAnsi="Arial" w:cs="Arial"/>
          <w:color w:val="444444"/>
        </w:rPr>
        <w:br/>
      </w:r>
    </w:p>
    <w:p w14:paraId="69463476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1. Правовое регулирование отношений в области охоты и сохранения охотничьих ресурсов</w:t>
      </w:r>
    </w:p>
    <w:p w14:paraId="45576FB4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65284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Правовое регулирование отношений в области охоты и сохранения охотничьих ресурсов на территории Тверской области осуществляется в соответствии с Конституцией Российской Федерации, Федеральным законом "Об охоте и о сохранении охотничьих ресурсов и о внесении изменений в отдельные законодательные акты Российской Федерации" (далее - Федеральный закон об охоте и о сохранении охотничьих ресурсов), Лесным кодексом Российской Федерации, другими федеральными законами, иными нормативными правовыми актами Российской Федерации, настоящим Законом и принимаемыми в соответствии с ними иными нормативными правовыми актами Тверской области.</w:t>
      </w:r>
      <w:r>
        <w:rPr>
          <w:rFonts w:ascii="Arial" w:hAnsi="Arial" w:cs="Arial"/>
          <w:color w:val="444444"/>
        </w:rPr>
        <w:br/>
      </w:r>
    </w:p>
    <w:p w14:paraId="31C6139D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2. Основные понятия, используемые в настоящем Законе</w:t>
      </w:r>
    </w:p>
    <w:p w14:paraId="16EB4B40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B2883A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Основные понятия, используемые в настоящем Законе, применяются в значениях, определенных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6B20F8D4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3. Полномочия Законодательного Собрания Тверской области в области охоты и сохранения охотничьих ресурсов</w:t>
      </w:r>
    </w:p>
    <w:p w14:paraId="6AF6BC1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AF84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 полномочиям Законодательного Собрания Тверской области в области охоты и сохранения охотничьих ресурсов относятся:</w:t>
      </w:r>
      <w:r>
        <w:rPr>
          <w:rFonts w:ascii="Arial" w:hAnsi="Arial" w:cs="Arial"/>
          <w:color w:val="444444"/>
        </w:rPr>
        <w:br/>
      </w:r>
    </w:p>
    <w:p w14:paraId="5232A21D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821DD4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и иных нормативных правовых актов Тверской области;</w:t>
      </w:r>
      <w:r>
        <w:rPr>
          <w:rFonts w:ascii="Arial" w:hAnsi="Arial" w:cs="Arial"/>
          <w:color w:val="444444"/>
        </w:rPr>
        <w:br/>
      </w:r>
    </w:p>
    <w:p w14:paraId="49BF526A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C984D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соблюдением и исполнением законов Тверской области;</w:t>
      </w:r>
      <w:r>
        <w:rPr>
          <w:rFonts w:ascii="Arial" w:hAnsi="Arial" w:cs="Arial"/>
          <w:color w:val="444444"/>
        </w:rPr>
        <w:br/>
      </w:r>
    </w:p>
    <w:p w14:paraId="0CFA5898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577F0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иных полномочий в области охоты и сохранения охотничьих ресурсов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67771F48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4. Полномочия Губернатора Тверской области в области охоты и сохранения охотничьих ресурсов</w:t>
      </w:r>
    </w:p>
    <w:p w14:paraId="5FF7F8FA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17774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Губернатора Тверской области в области охоты и сохранения охотничьих ресурсов относятся:</w:t>
      </w:r>
      <w:r>
        <w:rPr>
          <w:rFonts w:ascii="Arial" w:hAnsi="Arial" w:cs="Arial"/>
          <w:color w:val="444444"/>
        </w:rPr>
        <w:br/>
      </w:r>
    </w:p>
    <w:p w14:paraId="6A4773D8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34273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схемы размещения, использования и охраны охотничьих угодий на территории Тверской области;</w:t>
      </w:r>
      <w:r>
        <w:rPr>
          <w:rFonts w:ascii="Arial" w:hAnsi="Arial" w:cs="Arial"/>
          <w:color w:val="444444"/>
        </w:rPr>
        <w:br/>
      </w:r>
    </w:p>
    <w:p w14:paraId="35D2667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B0CC9F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лимита добычи охотничьих ресурсов на территории Тверской области в соответствии с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10A6EC3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0EED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определение видов разрешенной охоты и параметров осуществления охоты в охотничьих угодьях на территории Тверской области,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7A98A24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6395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иных полномочий в области охоты и сохранения охотничьих ресурсов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3A2367D9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5. Полномочия Правительства Тверской области в области охоты и сохранения охотничьих ресурсов</w:t>
      </w:r>
    </w:p>
    <w:p w14:paraId="7B53B91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F159B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Правительства Тверской области в области охоты и сохранения охотничьих ресурсов относятся:</w:t>
      </w:r>
      <w:r>
        <w:rPr>
          <w:rFonts w:ascii="Arial" w:hAnsi="Arial" w:cs="Arial"/>
          <w:color w:val="444444"/>
        </w:rPr>
        <w:br/>
      </w:r>
    </w:p>
    <w:p w14:paraId="270C772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442F0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66CCA576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4871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выдача и аннулирование охотничьих билетов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66F06F46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9C76B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иных полномочий в области охоты и сохранения охотничьих ресурсов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1394186F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A158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Правительство Тверской области осуществляет полномочия, указанные в части 1 настоящей статьи, непосредственно или </w:t>
      </w:r>
      <w:proofErr w:type="gramStart"/>
      <w:r>
        <w:rPr>
          <w:rFonts w:ascii="Arial" w:hAnsi="Arial" w:cs="Arial"/>
          <w:color w:val="444444"/>
        </w:rPr>
        <w:t>через уполномоченные</w:t>
      </w:r>
      <w:proofErr w:type="gramEnd"/>
      <w:r>
        <w:rPr>
          <w:rFonts w:ascii="Arial" w:hAnsi="Arial" w:cs="Arial"/>
          <w:color w:val="444444"/>
        </w:rPr>
        <w:t xml:space="preserve"> им исполнительные органы государственной власти Тверской области, если иное не предусмотрено федеральным законодательством и настоящим Законом.</w:t>
      </w:r>
      <w:r>
        <w:rPr>
          <w:rFonts w:ascii="Arial" w:hAnsi="Arial" w:cs="Arial"/>
          <w:color w:val="444444"/>
        </w:rPr>
        <w:br/>
      </w:r>
    </w:p>
    <w:p w14:paraId="6D9855D2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6. Охотничьи ресурсы на территории Тверской области</w:t>
      </w:r>
    </w:p>
    <w:p w14:paraId="08215693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2ED7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охотничьим ресурсам на территории Тверской области относятся млекопитающие и птицы, отнесенные к охотничьим ресурсам Федеральным законом об охоте и о сохранении охотничьих ресурсов, а также серая ворона.</w:t>
      </w:r>
      <w:r>
        <w:rPr>
          <w:rFonts w:ascii="Arial" w:hAnsi="Arial" w:cs="Arial"/>
          <w:color w:val="444444"/>
        </w:rPr>
        <w:br/>
      </w:r>
    </w:p>
    <w:p w14:paraId="455DB511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7. Порядок распределения разрешений на добычу охотничьих ресурсов между физическими лицами, осуществляющими охоту в общедоступных охотничьих угодьях</w:t>
      </w:r>
    </w:p>
    <w:p w14:paraId="36F83328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CF582D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Распределение разрешений на добычу охотничьих ресурсов между физическими лицами, осуществляющими охоту в общедоступных охотничьих угодьях на территории Тверской области (далее - распределение разрешений), производится уполномоченным Правительством Тверской области исполнительным органом государственной власти в области охоты и сохранения охотничьих ресурсов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2F769D9A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8DC1B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Распределение разрешений осуществляется в пределах квот добычи охотничьих ресурсов, норм допустимой добычи охотничьих ресурсов, в отношении которых не установлен лимит их добычи, норм пропускной способности охотничьих угодий.</w:t>
      </w:r>
      <w:r>
        <w:rPr>
          <w:rFonts w:ascii="Arial" w:hAnsi="Arial" w:cs="Arial"/>
          <w:color w:val="444444"/>
        </w:rPr>
        <w:br/>
      </w:r>
    </w:p>
    <w:p w14:paraId="4170FCBB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9C74C4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Распределение разрешений осуществляется в порядке очередности поступления заявлений на выдачу разрешений на добычу охотничьих ресурсов. При рассмотрении заявлений на выдачу разрешений на добычу охотничьих ресурсов, поданных несколькими физическими лицами одновременно или поступивших по почте в один день, их очередность определяется по времени поступления заявления.</w:t>
      </w:r>
      <w:r>
        <w:rPr>
          <w:rFonts w:ascii="Arial" w:hAnsi="Arial" w:cs="Arial"/>
          <w:color w:val="444444"/>
        </w:rPr>
        <w:br/>
      </w:r>
    </w:p>
    <w:p w14:paraId="5B384D1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F1FC38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Разрешения на добычу охотничьих ресурсов, в отношении которых устанавливается лимит добычи, распределяются между физическими лицами, добывшими волка на территории общедоступных охотничьих угодий в течение года, предшествующего началу срока сезона охоты в текущем году, и иными </w:t>
      </w:r>
      <w:r>
        <w:rPr>
          <w:rFonts w:ascii="Arial" w:hAnsi="Arial" w:cs="Arial"/>
          <w:color w:val="444444"/>
        </w:rPr>
        <w:lastRenderedPageBreak/>
        <w:t>физическими лицами.</w:t>
      </w:r>
      <w:r>
        <w:rPr>
          <w:rFonts w:ascii="Arial" w:hAnsi="Arial" w:cs="Arial"/>
          <w:color w:val="444444"/>
        </w:rPr>
        <w:br/>
      </w:r>
    </w:p>
    <w:p w14:paraId="73659EC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9E9A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Тверской области от 06.02.2013 N 4-ЗО, от 02.07.2014 N 54-ЗО)</w:t>
      </w:r>
      <w:r>
        <w:rPr>
          <w:rFonts w:ascii="Arial" w:hAnsi="Arial" w:cs="Arial"/>
          <w:color w:val="444444"/>
        </w:rPr>
        <w:br/>
      </w:r>
    </w:p>
    <w:p w14:paraId="71D48028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560F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Распределение разрешений на добычу охотничьих ресурсов, в отношении которых устанавливается лимит добычи, осуществляется в следующей пропорции:</w:t>
      </w:r>
      <w:r>
        <w:rPr>
          <w:rFonts w:ascii="Arial" w:hAnsi="Arial" w:cs="Arial"/>
          <w:color w:val="444444"/>
        </w:rPr>
        <w:br/>
      </w:r>
    </w:p>
    <w:p w14:paraId="00A69777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D63A3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физическим лицам, добывшим волка на территории общедоступных охотничьих угодий в течение года, предшествующего началу срока сезона охоты в текущем году, - тридцать процентов разрешений на добычу охотничьих ресурсов;</w:t>
      </w:r>
      <w:r>
        <w:rPr>
          <w:rFonts w:ascii="Arial" w:hAnsi="Arial" w:cs="Arial"/>
          <w:color w:val="444444"/>
        </w:rPr>
        <w:br/>
      </w:r>
    </w:p>
    <w:p w14:paraId="26B416E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075C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Тверской области от 06.02.2013 N 4-ЗО, от 02.07.2014 N 54-ЗО)</w:t>
      </w:r>
      <w:r>
        <w:rPr>
          <w:rFonts w:ascii="Arial" w:hAnsi="Arial" w:cs="Arial"/>
          <w:color w:val="444444"/>
        </w:rPr>
        <w:br/>
      </w:r>
    </w:p>
    <w:p w14:paraId="6F138B3D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1A097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иным физическим лицам - семьдесят процентов разрешений на добычу охотничьих ресурсов.</w:t>
      </w:r>
      <w:r>
        <w:rPr>
          <w:rFonts w:ascii="Arial" w:hAnsi="Arial" w:cs="Arial"/>
          <w:color w:val="444444"/>
        </w:rPr>
        <w:br/>
      </w:r>
    </w:p>
    <w:p w14:paraId="140A9D65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44EBAD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случае, если разрешения на добычу охотничьих ресурсов не распределены между физическими лицами, добывшими волка на территории общедоступных охотничьих угодий в течение года, предшествующего началу срока сезона охоты в текущем году, такие разрешения распределяются между иными физическими лицами.</w:t>
      </w:r>
      <w:r>
        <w:rPr>
          <w:rFonts w:ascii="Arial" w:hAnsi="Arial" w:cs="Arial"/>
          <w:color w:val="444444"/>
        </w:rPr>
        <w:br/>
      </w:r>
    </w:p>
    <w:p w14:paraId="4D1250B2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AE9873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Тверской области от 06.02.2013 N 4-ЗО, от 02.07.2014 N 54-ЗО)</w:t>
      </w:r>
      <w:r>
        <w:rPr>
          <w:rFonts w:ascii="Arial" w:hAnsi="Arial" w:cs="Arial"/>
          <w:color w:val="444444"/>
        </w:rPr>
        <w:br/>
      </w:r>
    </w:p>
    <w:p w14:paraId="0F1B612D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BB651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Разрешения на добычу копытных животных, отнесенных к охотничьим ресурсам, между физическими лицами, добывшими волка на территории общедоступных охотничьих угодий в течение года, предшествующего началу срока сезона охоты в текущем году, распределяются в пределах квот добычи указанных охотничьих ресурсов, в следующем порядке: за каждого добытого взрослого волка на территории общедоступных охотничьих угодий - одно разрешение на добычу одной особи копытных животных по выбору заявителя.</w:t>
      </w:r>
      <w:r>
        <w:rPr>
          <w:rFonts w:ascii="Arial" w:hAnsi="Arial" w:cs="Arial"/>
          <w:color w:val="444444"/>
        </w:rPr>
        <w:br/>
      </w:r>
    </w:p>
    <w:p w14:paraId="473E1964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0F49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Тверской области от 06.02.2013 N 4-ЗО, от 02.07.2014 N 54-ЗО)</w:t>
      </w:r>
      <w:r>
        <w:rPr>
          <w:rFonts w:ascii="Arial" w:hAnsi="Arial" w:cs="Arial"/>
          <w:color w:val="444444"/>
        </w:rPr>
        <w:br/>
      </w:r>
    </w:p>
    <w:p w14:paraId="0694D200" w14:textId="77777777" w:rsidR="00B540F1" w:rsidRDefault="00B540F1" w:rsidP="00B540F1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8. Утратила силу. - </w:t>
      </w:r>
      <w:r>
        <w:rPr>
          <w:rFonts w:ascii="Arial" w:hAnsi="Arial" w:cs="Arial"/>
          <w:color w:val="444444"/>
        </w:rPr>
        <w:t>Закон Тверской области от 09.11.2018 N 53-ЗО</w:t>
      </w:r>
      <w:r>
        <w:rPr>
          <w:rFonts w:ascii="Arial" w:hAnsi="Arial" w:cs="Arial"/>
          <w:color w:val="444444"/>
          <w:sz w:val="24"/>
          <w:szCs w:val="24"/>
        </w:rPr>
        <w:t>.</w:t>
      </w:r>
    </w:p>
    <w:p w14:paraId="16490EDD" w14:textId="77777777" w:rsidR="00B540F1" w:rsidRDefault="00B540F1" w:rsidP="00B540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Статья 9. Вступление в силу настоящего Закона</w:t>
      </w:r>
    </w:p>
    <w:p w14:paraId="0BCBE4FE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1C9A4C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C582E06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А.В.ШЕВЕЛЕВ</w:t>
      </w:r>
    </w:p>
    <w:p w14:paraId="0DEA82E9" w14:textId="77777777" w:rsidR="00B540F1" w:rsidRDefault="00B540F1" w:rsidP="00B540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Тверь</w:t>
      </w:r>
      <w:r>
        <w:rPr>
          <w:rFonts w:ascii="Arial" w:hAnsi="Arial" w:cs="Arial"/>
          <w:color w:val="444444"/>
        </w:rPr>
        <w:br/>
        <w:t>3 ноября 2011 года</w:t>
      </w:r>
      <w:r>
        <w:rPr>
          <w:rFonts w:ascii="Arial" w:hAnsi="Arial" w:cs="Arial"/>
          <w:color w:val="444444"/>
        </w:rPr>
        <w:br/>
        <w:t>N 71-ЗО</w:t>
      </w:r>
    </w:p>
    <w:p w14:paraId="78ACD951" w14:textId="77777777" w:rsidR="00B540F1" w:rsidRDefault="00B540F1" w:rsidP="00B540F1"/>
    <w:p w14:paraId="0FBD443B" w14:textId="77777777" w:rsidR="00133EC0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40F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540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40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54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