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E2647B" w14:textId="77777777" w:rsidR="002E088E" w:rsidRDefault="002E088E" w:rsidP="002E088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ГОРОДА ТОМСКА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ПОСТАНОВЛЕНИЕ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 30 ноября 2011 года № 1315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Об утверждении требований к разработке планов по предупреждению и ликвидации аварийных разливов нефти и нефтепродуктов на территории муниципального образования "Город Томск"</w:t>
      </w:r>
    </w:p>
    <w:p w14:paraId="0E35861F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23 марта 2018 года)</w:t>
      </w:r>
    </w:p>
    <w:p w14:paraId="36671905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</w:t>
      </w:r>
      <w:r>
        <w:rPr>
          <w:rFonts w:ascii="Arial" w:hAnsi="Arial" w:cs="Arial"/>
          <w:color w:val="444444"/>
        </w:rPr>
        <w:br/>
        <w:t>     Документ с изменениями, внесенными:</w:t>
      </w:r>
      <w:r>
        <w:rPr>
          <w:rFonts w:ascii="Arial" w:hAnsi="Arial" w:cs="Arial"/>
          <w:color w:val="444444"/>
        </w:rPr>
        <w:br/>
        <w:t>     постановлением Администрации Города Томска от 23 марта 2018 года № 206</w:t>
      </w:r>
      <w:r>
        <w:rPr>
          <w:rFonts w:ascii="Arial" w:hAnsi="Arial" w:cs="Arial"/>
          <w:color w:val="444444"/>
        </w:rPr>
        <w:br/>
        <w:t>     Постановлением Администрации Города Томска от 20 февраля 2012 года № 151</w:t>
      </w:r>
      <w:r>
        <w:rPr>
          <w:rFonts w:ascii="Arial" w:hAnsi="Arial" w:cs="Arial"/>
          <w:color w:val="444444"/>
        </w:rPr>
        <w:br/>
        <w:t>________________________________________________________________</w:t>
      </w:r>
    </w:p>
    <w:p w14:paraId="2C37B2C7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FD24D96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21.12.1994 № 68-ФЗ "О защите населения и территорий от чрезвычайных ситуаций природного и техногенного характера", Постановлением Правительства Российской Федерации от 21.08.2000 № 613 "О неотложных мерах по предупреждению и ликвидации аварийных разливов нефти и нефтепродуктов", Приказом МЧС РФ от 28.12.2004 № 621 "Об утверждении Правил разработки и согласования планов по предупреждению и ликвидации разливов нефти и нефтепродуктов на территории Российской Федерации", постановлением Главы Администрации Томской области (Губернатора) от 23.01.2001 № 22 "О неотложных мерах по предупреждению и ликвидации аварийных разливов нефти и нефтепродуктов", в целях предупреждения и ликвидации последствий аварийных разливов нефти и нефтепродуктов, защиты населения и окружающей природной среды от их вредного воздействия на территории муниципального образования "Город Томск", руководствуясь Уставом Города Томска</w:t>
      </w:r>
      <w:r>
        <w:rPr>
          <w:rFonts w:ascii="Arial" w:hAnsi="Arial" w:cs="Arial"/>
          <w:color w:val="444444"/>
        </w:rPr>
        <w:br/>
      </w:r>
    </w:p>
    <w:p w14:paraId="71F776C4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ПОСТАНОВЛЯЮ:</w:t>
      </w:r>
      <w:r>
        <w:rPr>
          <w:rFonts w:ascii="Arial" w:hAnsi="Arial" w:cs="Arial"/>
          <w:color w:val="444444"/>
        </w:rPr>
        <w:br/>
      </w:r>
    </w:p>
    <w:p w14:paraId="3D942009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Требования к разработке планов по предупреждению и ликвидации аварийных разливов нефти и нефтепродуктов на территории муниципального образования "Город Томск", согласно приложению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769DC339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Рекомендовать организациям, не зависимо от форм собственности, осуществляющим на территории муниципального образования "Город Томск" переработку, транспортировку, хранение и использование нефти и нефтепродуктов, включая администрации портов, разработать планы по предупреждению и ликвидации аварийных разливов нефти и нефтепродуктов в соответствии с Требованиями к разработке планов по предупреждению и ликвидации аварийных разливов нефти и нефтепродуктов на территории муниципального образования "Город Томск", утвержденными пунктом 1 настоящего постановления, в установленном действующим законодательством </w:t>
      </w:r>
      <w:r>
        <w:rPr>
          <w:rFonts w:ascii="Arial" w:hAnsi="Arial" w:cs="Arial"/>
          <w:color w:val="444444"/>
        </w:rPr>
        <w:lastRenderedPageBreak/>
        <w:t>порядке.</w:t>
      </w:r>
      <w:r>
        <w:rPr>
          <w:rFonts w:ascii="Arial" w:hAnsi="Arial" w:cs="Arial"/>
          <w:color w:val="444444"/>
        </w:rPr>
        <w:br/>
      </w:r>
    </w:p>
    <w:p w14:paraId="1D574643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Комитету по общим вопросам администрации Города Томска (О.Н. Берлина):</w:t>
      </w:r>
      <w:r>
        <w:rPr>
          <w:rFonts w:ascii="Arial" w:hAnsi="Arial" w:cs="Arial"/>
          <w:color w:val="444444"/>
        </w:rPr>
        <w:br/>
      </w:r>
    </w:p>
    <w:p w14:paraId="382F4930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опубликовать настоящее постановление в Сборнике официальных материалов муниципального образования "Город Томск";</w:t>
      </w:r>
      <w:r>
        <w:rPr>
          <w:rFonts w:ascii="Arial" w:hAnsi="Arial" w:cs="Arial"/>
          <w:color w:val="444444"/>
        </w:rPr>
        <w:br/>
      </w:r>
    </w:p>
    <w:p w14:paraId="09178FE8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направить настоящее постановление в структурное подразделение Администрации Томской области, определенное Губернатором Томской области, выполняющее функции уполномоченного органа по ведению Регистра муниципальных нормативных правовых актов в Томской области.</w:t>
      </w:r>
      <w:r>
        <w:rPr>
          <w:rFonts w:ascii="Arial" w:hAnsi="Arial" w:cs="Arial"/>
          <w:color w:val="444444"/>
        </w:rPr>
        <w:br/>
      </w:r>
    </w:p>
    <w:p w14:paraId="67F8661C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Контроль за исполнением настоящего постановления возложить на заместителя Мэра Города Томска по безопасности </w:t>
      </w:r>
      <w:proofErr w:type="gramStart"/>
      <w:r>
        <w:rPr>
          <w:rFonts w:ascii="Arial" w:hAnsi="Arial" w:cs="Arial"/>
          <w:color w:val="444444"/>
        </w:rPr>
        <w:t>Е.И.</w:t>
      </w:r>
      <w:proofErr w:type="gramEnd"/>
      <w:r>
        <w:rPr>
          <w:rFonts w:ascii="Arial" w:hAnsi="Arial" w:cs="Arial"/>
          <w:color w:val="444444"/>
        </w:rPr>
        <w:t xml:space="preserve"> Сурикова.</w:t>
      </w:r>
    </w:p>
    <w:p w14:paraId="3F722E2B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(Пункт в редакции, введенной в действие </w:t>
      </w:r>
      <w:proofErr w:type="gramStart"/>
      <w:r>
        <w:rPr>
          <w:rFonts w:ascii="Arial" w:hAnsi="Arial" w:cs="Arial"/>
          <w:color w:val="444444"/>
        </w:rPr>
        <w:t>с  30.03.2018</w:t>
      </w:r>
      <w:proofErr w:type="gramEnd"/>
      <w:r>
        <w:rPr>
          <w:rFonts w:ascii="Arial" w:hAnsi="Arial" w:cs="Arial"/>
          <w:color w:val="444444"/>
        </w:rPr>
        <w:t xml:space="preserve"> года постановлением Администрации Города Томска от 23 марта 2018 года № 206, - см. предыдущую редакцию)</w:t>
      </w:r>
      <w:r>
        <w:rPr>
          <w:rFonts w:ascii="Arial" w:hAnsi="Arial" w:cs="Arial"/>
          <w:color w:val="444444"/>
        </w:rPr>
        <w:br/>
      </w:r>
    </w:p>
    <w:p w14:paraId="1A61F3FA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Мэр Города Томска</w:t>
      </w:r>
      <w:r>
        <w:rPr>
          <w:rFonts w:ascii="Arial" w:hAnsi="Arial" w:cs="Arial"/>
          <w:color w:val="444444"/>
        </w:rPr>
        <w:br/>
        <w:t xml:space="preserve">     Н.А. </w:t>
      </w:r>
      <w:proofErr w:type="spellStart"/>
      <w:r>
        <w:rPr>
          <w:rFonts w:ascii="Arial" w:hAnsi="Arial" w:cs="Arial"/>
          <w:color w:val="444444"/>
        </w:rPr>
        <w:t>Николайчук</w:t>
      </w:r>
      <w:proofErr w:type="spellEnd"/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Приложение к постановлению</w:t>
      </w:r>
      <w:r>
        <w:rPr>
          <w:rFonts w:ascii="Arial" w:hAnsi="Arial" w:cs="Arial"/>
          <w:color w:val="444444"/>
        </w:rPr>
        <w:br/>
        <w:t> администрации Города Томска</w:t>
      </w:r>
      <w:r>
        <w:rPr>
          <w:rFonts w:ascii="Arial" w:hAnsi="Arial" w:cs="Arial"/>
          <w:color w:val="444444"/>
        </w:rPr>
        <w:br/>
        <w:t>                                                                                       от 30.11.2011 № 1315</w:t>
      </w:r>
    </w:p>
    <w:p w14:paraId="3AD974D1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b/>
          <w:bCs/>
          <w:color w:val="444444"/>
          <w:bdr w:val="none" w:sz="0" w:space="0" w:color="auto" w:frame="1"/>
        </w:rPr>
        <w:t>ТРЕБОВАНИЯ</w:t>
      </w:r>
      <w:r>
        <w:rPr>
          <w:rFonts w:ascii="Arial" w:hAnsi="Arial" w:cs="Arial"/>
          <w:b/>
          <w:bCs/>
          <w:color w:val="444444"/>
          <w:bdr w:val="none" w:sz="0" w:space="0" w:color="auto" w:frame="1"/>
        </w:rPr>
        <w:br/>
        <w:t>к разработке планов по предупреждению и ликвидации аварийных разливов нефти и нефтепродуктов на территории муниципального образования «Город Томск»</w:t>
      </w:r>
    </w:p>
    <w:p w14:paraId="43635C34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5D50E68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Настоящие требования определяют принципы формирования планов по предупреждению и ликвидации аварийных разливов нефти и нефтепродуктов на территории муниципального образовании Город Томск» (далее - Планы), которые относятся к чрезвычайным ситуациям локального и муниципального значения, а также организации взаимодействия сил и средств, привлекаемых для их ликвидации.</w:t>
      </w:r>
      <w:r>
        <w:rPr>
          <w:rFonts w:ascii="Arial" w:hAnsi="Arial" w:cs="Arial"/>
          <w:color w:val="444444"/>
        </w:rPr>
        <w:br/>
      </w:r>
    </w:p>
    <w:p w14:paraId="69968B9D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Планы разрабатываются в соответствии с действующими нормативными правовыми актами с учетом максимально возможного объема разлившихся нефти и нефтепродуктов, который определяется для следующих объектов:</w:t>
      </w:r>
      <w:r>
        <w:rPr>
          <w:rFonts w:ascii="Arial" w:hAnsi="Arial" w:cs="Arial"/>
          <w:color w:val="444444"/>
        </w:rPr>
        <w:br/>
      </w:r>
    </w:p>
    <w:p w14:paraId="4F76EC16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нефтеналивное судно - 2 танка;</w:t>
      </w:r>
      <w:r>
        <w:rPr>
          <w:rFonts w:ascii="Arial" w:hAnsi="Arial" w:cs="Arial"/>
          <w:color w:val="444444"/>
        </w:rPr>
        <w:br/>
      </w:r>
    </w:p>
    <w:p w14:paraId="204BF0F8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нефтеналивная баржа - 50 процентов ее общей грузоподъемности;</w:t>
      </w:r>
      <w:r>
        <w:rPr>
          <w:rFonts w:ascii="Arial" w:hAnsi="Arial" w:cs="Arial"/>
          <w:color w:val="444444"/>
        </w:rPr>
        <w:br/>
      </w:r>
    </w:p>
    <w:p w14:paraId="1C681FEE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стационарные добывающие установки и нефтяные терминалы -1500 тонн;</w:t>
      </w:r>
      <w:r>
        <w:rPr>
          <w:rFonts w:ascii="Arial" w:hAnsi="Arial" w:cs="Arial"/>
          <w:color w:val="444444"/>
        </w:rPr>
        <w:br/>
      </w:r>
    </w:p>
    <w:p w14:paraId="619DAC06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автоцистерна - 100 процентов объема;</w:t>
      </w:r>
      <w:r>
        <w:rPr>
          <w:rFonts w:ascii="Arial" w:hAnsi="Arial" w:cs="Arial"/>
          <w:color w:val="444444"/>
        </w:rPr>
        <w:br/>
      </w:r>
    </w:p>
    <w:p w14:paraId="78DD55B7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железнодорожный состав - 50 процентов общего объема цистерн в железнодорожном составе;</w:t>
      </w:r>
      <w:r>
        <w:rPr>
          <w:rFonts w:ascii="Arial" w:hAnsi="Arial" w:cs="Arial"/>
          <w:color w:val="444444"/>
        </w:rPr>
        <w:br/>
      </w:r>
    </w:p>
    <w:p w14:paraId="5E2E5121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трубопровод при порыве - 25 процентов максимального объема прокачки в течение 6 часов и объем нефти между запорными задвижками на порванном участке трубопровода;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31EB3E60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трубопровод при проколе - 2 процента максимального объема прокачки в течение 14 дней;</w:t>
      </w:r>
      <w:r>
        <w:rPr>
          <w:rFonts w:ascii="Arial" w:hAnsi="Arial" w:cs="Arial"/>
          <w:color w:val="444444"/>
        </w:rPr>
        <w:br/>
      </w:r>
    </w:p>
    <w:p w14:paraId="28C4A51E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стационарные объекты хранения нефти и нефтепродуктов -100 процентов объема максимальной емкости одного объекта хранения.</w:t>
      </w:r>
      <w:r>
        <w:rPr>
          <w:rFonts w:ascii="Arial" w:hAnsi="Arial" w:cs="Arial"/>
          <w:color w:val="444444"/>
        </w:rPr>
        <w:br/>
      </w:r>
    </w:p>
    <w:p w14:paraId="1AFF4B3D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Разливы нефти и нефтепродуктов классифицируются как чрезвычайные ситуации и ликвидируются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4EF626BF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зависимости от объема и площади разлива нефти и нефтепродуктов на местности, во внутренних пресноводных водоемах выделяются чрезвычайные ситуации следующих категорий:</w:t>
      </w:r>
      <w:r>
        <w:rPr>
          <w:rFonts w:ascii="Arial" w:hAnsi="Arial" w:cs="Arial"/>
          <w:color w:val="444444"/>
        </w:rPr>
        <w:br/>
      </w:r>
    </w:p>
    <w:p w14:paraId="54394115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локального значения - разлив от нижнего уровня разлива нефти и нефтепродуктов до 100 тонн нефти и нефтепродуктов на территории объекта;</w:t>
      </w:r>
      <w:r>
        <w:rPr>
          <w:rFonts w:ascii="Arial" w:hAnsi="Arial" w:cs="Arial"/>
          <w:color w:val="444444"/>
        </w:rPr>
        <w:br/>
      </w:r>
    </w:p>
    <w:p w14:paraId="33829859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муниципального значения - разлив от 100 до 500 тонн нефти и нефтепродуктов в пределах административной границы муниципального образования либо разлив до 100 тонн нефти и нефтепродуктов, выходящий за пределы территории объекта.</w:t>
      </w:r>
      <w:r>
        <w:rPr>
          <w:rFonts w:ascii="Arial" w:hAnsi="Arial" w:cs="Arial"/>
          <w:color w:val="444444"/>
        </w:rPr>
        <w:br/>
      </w:r>
    </w:p>
    <w:p w14:paraId="341B6061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Исходя из местоположения разлива и гидрометеорологических условий категория чрезвычайной ситуации может быть повышена.</w:t>
      </w:r>
      <w:r>
        <w:rPr>
          <w:rFonts w:ascii="Arial" w:hAnsi="Arial" w:cs="Arial"/>
          <w:color w:val="444444"/>
        </w:rPr>
        <w:br/>
      </w:r>
    </w:p>
    <w:p w14:paraId="194D3F1C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Отнесение чрезвычайных ситуаций к чрезвычайным ситуациям территориального, регионального и федерального значения осуществляется в соответствии с Постановлением Правительства Российской Федерации от 21.08.2000 № 613 "О неотложных мерах по предупреждению и ликвидации аварийных разливов нефти и нефтепродуктов".</w:t>
      </w:r>
    </w:p>
    <w:p w14:paraId="437ACECB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(Пункт в редакции, введенной в действие Постановлением Администрации Города Томска от 20 февраля 2012 года № 151,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 </w:t>
      </w:r>
      <w:r>
        <w:rPr>
          <w:rFonts w:ascii="Arial" w:hAnsi="Arial" w:cs="Arial"/>
          <w:color w:val="444444"/>
        </w:rPr>
        <w:br/>
      </w:r>
    </w:p>
    <w:p w14:paraId="595C0F5F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Планом должны предусматриваться:</w:t>
      </w:r>
      <w:r>
        <w:rPr>
          <w:rFonts w:ascii="Arial" w:hAnsi="Arial" w:cs="Arial"/>
          <w:color w:val="444444"/>
        </w:rPr>
        <w:br/>
      </w:r>
    </w:p>
    <w:p w14:paraId="3BC6903F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прогнозирование возможных разливов нефти и нефтепродуктов;</w:t>
      </w:r>
      <w:r>
        <w:rPr>
          <w:rFonts w:ascii="Arial" w:hAnsi="Arial" w:cs="Arial"/>
          <w:color w:val="444444"/>
        </w:rPr>
        <w:br/>
      </w:r>
    </w:p>
    <w:p w14:paraId="4B988778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б) количество сил и средств, достаточное для ликвидации чрезвычайных ситуаций, связанных с разливом нефти и нефтепродуктов (далее именуются - силы и средства), соответствие имеющихся на объекте сил и средств задачам </w:t>
      </w:r>
      <w:r>
        <w:rPr>
          <w:rFonts w:ascii="Arial" w:hAnsi="Arial" w:cs="Arial"/>
          <w:color w:val="444444"/>
        </w:rPr>
        <w:lastRenderedPageBreak/>
        <w:t>ликвидации и необходимость привлечения профессиональных аварийно-спасательных формирований;</w:t>
      </w:r>
      <w:r>
        <w:rPr>
          <w:rFonts w:ascii="Arial" w:hAnsi="Arial" w:cs="Arial"/>
          <w:color w:val="444444"/>
        </w:rPr>
        <w:br/>
      </w:r>
    </w:p>
    <w:p w14:paraId="3591E47B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организация взаимодействия сил и средств;</w:t>
      </w:r>
      <w:r>
        <w:rPr>
          <w:rFonts w:ascii="Arial" w:hAnsi="Arial" w:cs="Arial"/>
          <w:color w:val="444444"/>
        </w:rPr>
        <w:br/>
      </w:r>
    </w:p>
    <w:p w14:paraId="38F70D03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состав и дислокация сил и средств;</w:t>
      </w:r>
      <w:r>
        <w:rPr>
          <w:rFonts w:ascii="Arial" w:hAnsi="Arial" w:cs="Arial"/>
          <w:color w:val="444444"/>
        </w:rPr>
        <w:br/>
      </w:r>
    </w:p>
    <w:p w14:paraId="78BB0D1E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организация управления, связи и оповещения;</w:t>
      </w:r>
      <w:r>
        <w:rPr>
          <w:rFonts w:ascii="Arial" w:hAnsi="Arial" w:cs="Arial"/>
          <w:color w:val="444444"/>
        </w:rPr>
        <w:br/>
      </w:r>
    </w:p>
    <w:p w14:paraId="3AF340B8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порядок обеспечения постоянной готовности сил и средств с указанием организаций, которые несут ответственность за их поддержание в установленной степени готовности;</w:t>
      </w:r>
      <w:r>
        <w:rPr>
          <w:rFonts w:ascii="Arial" w:hAnsi="Arial" w:cs="Arial"/>
          <w:color w:val="444444"/>
        </w:rPr>
        <w:br/>
      </w:r>
    </w:p>
    <w:p w14:paraId="2106A066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система взаимного обмена информацией между организациями - участниками ликвидации разлива нефти и нефтепродуктов;</w:t>
      </w:r>
      <w:r>
        <w:rPr>
          <w:rFonts w:ascii="Arial" w:hAnsi="Arial" w:cs="Arial"/>
          <w:color w:val="444444"/>
        </w:rPr>
        <w:br/>
      </w:r>
    </w:p>
    <w:p w14:paraId="16441C75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з) первоочередные действия при получении сигнала о чрезвычайной ситуации;</w:t>
      </w:r>
      <w:r>
        <w:rPr>
          <w:rFonts w:ascii="Arial" w:hAnsi="Arial" w:cs="Arial"/>
          <w:color w:val="444444"/>
        </w:rPr>
        <w:br/>
      </w:r>
    </w:p>
    <w:p w14:paraId="4E047F35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и) географические, навигационно-гидрографические, гидрометеорологические и другие особенности района разлива нефти и нефтепродуктов, которые учитываются при организации и проведении операции по его ликвидации;</w:t>
      </w:r>
      <w:r>
        <w:rPr>
          <w:rFonts w:ascii="Arial" w:hAnsi="Arial" w:cs="Arial"/>
          <w:color w:val="444444"/>
        </w:rPr>
        <w:br/>
      </w:r>
    </w:p>
    <w:p w14:paraId="1D90F1C4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к) обеспечение безопасности населения и оказание медицинской помощи;</w:t>
      </w:r>
      <w:r>
        <w:rPr>
          <w:rFonts w:ascii="Arial" w:hAnsi="Arial" w:cs="Arial"/>
          <w:color w:val="444444"/>
        </w:rPr>
        <w:br/>
      </w:r>
    </w:p>
    <w:p w14:paraId="5C97BA0D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л) график проведения операций по ликвидации разливов нефти и нефтепродуктов;</w:t>
      </w:r>
      <w:r>
        <w:rPr>
          <w:rFonts w:ascii="Arial" w:hAnsi="Arial" w:cs="Arial"/>
          <w:color w:val="444444"/>
        </w:rPr>
        <w:br/>
      </w:r>
    </w:p>
    <w:p w14:paraId="43C97A5C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м) организация материально-технического, инженерного и финансового обеспечения операций по ликвидации разливов нефти и нефтепродуктов.</w:t>
      </w:r>
      <w:r>
        <w:rPr>
          <w:rFonts w:ascii="Arial" w:hAnsi="Arial" w:cs="Arial"/>
          <w:color w:val="444444"/>
        </w:rPr>
        <w:br/>
      </w:r>
    </w:p>
    <w:p w14:paraId="2367FC02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При расчете необходимого количества сил и средств должны учитываться:</w:t>
      </w:r>
      <w:r>
        <w:rPr>
          <w:rFonts w:ascii="Arial" w:hAnsi="Arial" w:cs="Arial"/>
          <w:color w:val="444444"/>
        </w:rPr>
        <w:br/>
      </w:r>
    </w:p>
    <w:p w14:paraId="673B915F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максимально возможный объем разлившихся нефти и нефтепродуктов;</w:t>
      </w:r>
      <w:r>
        <w:rPr>
          <w:rFonts w:ascii="Arial" w:hAnsi="Arial" w:cs="Arial"/>
          <w:color w:val="444444"/>
        </w:rPr>
        <w:br/>
      </w:r>
    </w:p>
    <w:p w14:paraId="7344CFA3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площадь разлива;</w:t>
      </w:r>
      <w:r>
        <w:rPr>
          <w:rFonts w:ascii="Arial" w:hAnsi="Arial" w:cs="Arial"/>
          <w:color w:val="444444"/>
        </w:rPr>
        <w:br/>
      </w:r>
    </w:p>
    <w:p w14:paraId="31DE9029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год ввода в действие и год последнего капитального ремонта объекта;</w:t>
      </w:r>
      <w:r>
        <w:rPr>
          <w:rFonts w:ascii="Arial" w:hAnsi="Arial" w:cs="Arial"/>
          <w:color w:val="444444"/>
        </w:rPr>
        <w:br/>
      </w:r>
    </w:p>
    <w:p w14:paraId="424D36C2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максимальный объем нефти и нефтепродуктов на объекте;</w:t>
      </w:r>
      <w:r>
        <w:rPr>
          <w:rFonts w:ascii="Arial" w:hAnsi="Arial" w:cs="Arial"/>
          <w:color w:val="444444"/>
        </w:rPr>
        <w:br/>
      </w:r>
    </w:p>
    <w:p w14:paraId="273A7D5B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физико-химические свойства нефти и нефтепродуктов;</w:t>
      </w:r>
      <w:r>
        <w:rPr>
          <w:rFonts w:ascii="Arial" w:hAnsi="Arial" w:cs="Arial"/>
          <w:color w:val="444444"/>
        </w:rPr>
        <w:br/>
      </w:r>
    </w:p>
    <w:p w14:paraId="09E7CD7A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влияние места расположения объекта на скорость распространения нефти и нефтепродуктов с учетом возможности их попадания в морские и речные акватории, во внутренние водоемы;</w:t>
      </w:r>
      <w:r>
        <w:rPr>
          <w:rFonts w:ascii="Arial" w:hAnsi="Arial" w:cs="Arial"/>
          <w:color w:val="444444"/>
        </w:rPr>
        <w:br/>
      </w:r>
    </w:p>
    <w:p w14:paraId="1CC26464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гидрометеорологические, гидрогеологические и другие условия в месте расположения объекта;</w:t>
      </w:r>
      <w:r>
        <w:rPr>
          <w:rFonts w:ascii="Arial" w:hAnsi="Arial" w:cs="Arial"/>
          <w:color w:val="444444"/>
        </w:rPr>
        <w:br/>
      </w:r>
    </w:p>
    <w:p w14:paraId="6892041A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з) возможности имеющихся на объекте сил и средств, а также профессиональных аварийно-спасательных формирований, дислоцированных в </w:t>
      </w:r>
      <w:r>
        <w:rPr>
          <w:rFonts w:ascii="Arial" w:hAnsi="Arial" w:cs="Arial"/>
          <w:color w:val="444444"/>
        </w:rPr>
        <w:lastRenderedPageBreak/>
        <w:t>муниципальном образовании «Город Томск» (при условии их письменного согласия на участие в ликвидации разливов нефти и нефтепродуктов);</w:t>
      </w:r>
      <w:r>
        <w:rPr>
          <w:rFonts w:ascii="Arial" w:hAnsi="Arial" w:cs="Arial"/>
          <w:color w:val="444444"/>
        </w:rPr>
        <w:br/>
      </w:r>
    </w:p>
    <w:p w14:paraId="44B446FE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и) наличие полигонов по перевалке, хранению и переработке нефтяных отходов;</w:t>
      </w:r>
      <w:r>
        <w:rPr>
          <w:rFonts w:ascii="Arial" w:hAnsi="Arial" w:cs="Arial"/>
          <w:color w:val="444444"/>
        </w:rPr>
        <w:br/>
      </w:r>
    </w:p>
    <w:p w14:paraId="5314472E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к) транспортная инфраструктура в районе возможного разлива нефти и нефтепродуктов;</w:t>
      </w:r>
      <w:r>
        <w:rPr>
          <w:rFonts w:ascii="Arial" w:hAnsi="Arial" w:cs="Arial"/>
          <w:color w:val="444444"/>
        </w:rPr>
        <w:br/>
      </w:r>
    </w:p>
    <w:p w14:paraId="4BFB7F6F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л) время доставки сил и средств к месту чрезвычайной ситуации;</w:t>
      </w:r>
      <w:r>
        <w:rPr>
          <w:rFonts w:ascii="Arial" w:hAnsi="Arial" w:cs="Arial"/>
          <w:color w:val="444444"/>
        </w:rPr>
        <w:br/>
      </w:r>
    </w:p>
    <w:p w14:paraId="0A54A95B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м) время локализации разлива нефти и нефтепродуктов, которое не должно превышать 4 часов при разливе на акватории и 6 часов - при разливе на почве.</w:t>
      </w:r>
      <w:r>
        <w:rPr>
          <w:rFonts w:ascii="Arial" w:hAnsi="Arial" w:cs="Arial"/>
          <w:color w:val="444444"/>
        </w:rPr>
        <w:br/>
      </w:r>
    </w:p>
    <w:p w14:paraId="6CF1CE57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Отчет о проведении работ по ликвидации разливов нефти и нефтепродуктов должен представляться комиссии по предупреждению и ликвидации чрезвычайных ситуаций и обеспечению пожарной безопасности администрации Города Томска (далее - КЧС и ОПБ) через Муниципальное казенное учреждение «Оперативно-дежурная служба города Томска» и содержать следующие сведения:</w:t>
      </w:r>
    </w:p>
    <w:p w14:paraId="1385C7FC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(абзац в редакции, введенной в действие </w:t>
      </w:r>
      <w:proofErr w:type="gramStart"/>
      <w:r>
        <w:rPr>
          <w:rFonts w:ascii="Arial" w:hAnsi="Arial" w:cs="Arial"/>
          <w:color w:val="444444"/>
        </w:rPr>
        <w:t>с  30.03.2018</w:t>
      </w:r>
      <w:proofErr w:type="gramEnd"/>
      <w:r>
        <w:rPr>
          <w:rFonts w:ascii="Arial" w:hAnsi="Arial" w:cs="Arial"/>
          <w:color w:val="444444"/>
        </w:rPr>
        <w:t xml:space="preserve"> года постановлением Администрации Города Томска от 23 марта 2018 года № 206, - см. предыдущую редакцию)</w:t>
      </w:r>
      <w:r>
        <w:rPr>
          <w:rFonts w:ascii="Arial" w:hAnsi="Arial" w:cs="Arial"/>
          <w:color w:val="444444"/>
        </w:rPr>
        <w:br/>
      </w:r>
    </w:p>
    <w:p w14:paraId="0E55C313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причина и обстоятельства разливов нефти и нефтепродуктов;</w:t>
      </w:r>
      <w:r>
        <w:rPr>
          <w:rFonts w:ascii="Arial" w:hAnsi="Arial" w:cs="Arial"/>
          <w:color w:val="444444"/>
        </w:rPr>
        <w:br/>
      </w:r>
    </w:p>
    <w:p w14:paraId="0B29700B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описание и оценка действий органов управления при устранении источника утечки, локализации и ликвидации последствий разливов нефти и нефтепродуктов;</w:t>
      </w:r>
      <w:r>
        <w:rPr>
          <w:rFonts w:ascii="Arial" w:hAnsi="Arial" w:cs="Arial"/>
          <w:color w:val="444444"/>
        </w:rPr>
        <w:br/>
      </w:r>
    </w:p>
    <w:p w14:paraId="4FBC1C0E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оценка эффективности сил и специальных технических средств, применяемых в ходе работ по ликвидации разливов нефти и нефтепродуктов;</w:t>
      </w:r>
      <w:r>
        <w:rPr>
          <w:rFonts w:ascii="Arial" w:hAnsi="Arial" w:cs="Arial"/>
          <w:color w:val="444444"/>
        </w:rPr>
        <w:br/>
      </w:r>
    </w:p>
    <w:p w14:paraId="7E8D188D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затраты на проведение работ по ликвидации разливов нефти и нефтепродуктов, включая расходы на локализацию, сбор, утилизацию нефти и нефтепродуктов и последующую реабилитацию территории;</w:t>
      </w:r>
      <w:r>
        <w:rPr>
          <w:rFonts w:ascii="Arial" w:hAnsi="Arial" w:cs="Arial"/>
          <w:color w:val="444444"/>
        </w:rPr>
        <w:br/>
      </w:r>
    </w:p>
    <w:p w14:paraId="05F3E6C4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расходы на возмещение (компенсацию) ущерба, нанесенного водным биологическим ресурсам;</w:t>
      </w:r>
      <w:r>
        <w:rPr>
          <w:rFonts w:ascii="Arial" w:hAnsi="Arial" w:cs="Arial"/>
          <w:color w:val="444444"/>
        </w:rPr>
        <w:br/>
      </w:r>
    </w:p>
    <w:p w14:paraId="78E8A552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уровень остаточного загрязнения территорий (акваторий) после выполнения работ по ликвидации разливов нефти и нефтепродуктов;</w:t>
      </w:r>
      <w:r>
        <w:rPr>
          <w:rFonts w:ascii="Arial" w:hAnsi="Arial" w:cs="Arial"/>
          <w:color w:val="444444"/>
        </w:rPr>
        <w:br/>
      </w:r>
    </w:p>
    <w:p w14:paraId="101B3CDE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состояние технологического оборудования организации, наличие предписаний надзорных органов об устранении недостатков его технического состояния, нарушений норм и правил промышленной безопасности;</w:t>
      </w:r>
      <w:r>
        <w:rPr>
          <w:rFonts w:ascii="Arial" w:hAnsi="Arial" w:cs="Arial"/>
          <w:color w:val="444444"/>
        </w:rPr>
        <w:br/>
      </w:r>
    </w:p>
    <w:p w14:paraId="7FFAD0B5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з) предложения по дополнительному оснащению формирований (подразделений) организации и профессиональных аварийно-спасательных формирований (служб).</w:t>
      </w:r>
      <w:r>
        <w:rPr>
          <w:rFonts w:ascii="Arial" w:hAnsi="Arial" w:cs="Arial"/>
          <w:color w:val="444444"/>
        </w:rPr>
        <w:br/>
      </w:r>
    </w:p>
    <w:p w14:paraId="5425BB92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Указанный отчет с приложением к нему необходимых карт (планов), расчетов, графиков, других справочных материалов хранится в КЧС и ОПБ не менее пяти лет.</w:t>
      </w:r>
      <w:r>
        <w:rPr>
          <w:rFonts w:ascii="Arial" w:hAnsi="Arial" w:cs="Arial"/>
          <w:color w:val="444444"/>
        </w:rPr>
        <w:br/>
      </w:r>
    </w:p>
    <w:p w14:paraId="4699A7C8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 Порядок и периодичность проверки готовности сил и средств, привлекаемых для ликвидации разливов нефти и нефтепродуктов локального и местного значения, </w:t>
      </w:r>
      <w:proofErr w:type="spellStart"/>
      <w:r>
        <w:rPr>
          <w:rFonts w:ascii="Arial" w:hAnsi="Arial" w:cs="Arial"/>
          <w:color w:val="444444"/>
        </w:rPr>
        <w:t>определяютсякомиссией</w:t>
      </w:r>
      <w:proofErr w:type="spellEnd"/>
      <w:r>
        <w:rPr>
          <w:rFonts w:ascii="Arial" w:hAnsi="Arial" w:cs="Arial"/>
          <w:color w:val="444444"/>
        </w:rPr>
        <w:t xml:space="preserve"> по предупреждению и ликвидации чрезвычайных ситуаций и обеспечению пожарной безопасности Администрации Томской области.</w:t>
      </w:r>
    </w:p>
    <w:p w14:paraId="0FC67209" w14:textId="77777777" w:rsidR="002E088E" w:rsidRDefault="002E088E" w:rsidP="002E08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(Пункт в редакции, введенной в действие с 30.03.2018 года постановлением Администрации Города Томска от 23 марта 2018 года № 206, - см. предыдущую редакцию)</w:t>
      </w:r>
    </w:p>
    <w:p w14:paraId="4B117698" w14:textId="77777777" w:rsidR="002E088E" w:rsidRDefault="002E088E" w:rsidP="002E088E"/>
    <w:p w14:paraId="534F4719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E088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2E08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E08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