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F4150" w:rsidRDefault="001F4150">
      <w:pPr>
        <w:pStyle w:val="EcoNormal"/>
        <w:jc w:val="both"/>
        <w:outlineLvl w:val="0"/>
      </w:pPr>
      <w:bookmarkStart w:id="1" w:name="_GoBack"/>
      <w:bookmarkEnd w:id="1"/>
    </w:p>
    <w:p w:rsidR="001F4150" w:rsidRDefault="001F4150">
      <w:pPr>
        <w:pStyle w:val="EcoTitle"/>
        <w:jc w:val="center"/>
      </w:pPr>
      <w:r>
        <w:t>МИНИСТЕРСТВО ПРИРОДНЫХ РЕСУРСОВ И ЭКОЛОГИИ</w:t>
      </w:r>
    </w:p>
    <w:p w:rsidR="001F4150" w:rsidRDefault="001F4150">
      <w:pPr>
        <w:pStyle w:val="EcoTitle"/>
        <w:jc w:val="center"/>
      </w:pPr>
      <w:r>
        <w:t>РОССИЙСКОЙ ФЕДЕРАЦИИ</w:t>
      </w:r>
    </w:p>
    <w:p w:rsidR="001F4150" w:rsidRDefault="001F4150">
      <w:pPr>
        <w:pStyle w:val="EcoTitle"/>
        <w:jc w:val="center"/>
      </w:pPr>
    </w:p>
    <w:p w:rsidR="001F4150" w:rsidRDefault="001F4150">
      <w:pPr>
        <w:pStyle w:val="EcoTitle"/>
        <w:jc w:val="center"/>
      </w:pPr>
      <w:r>
        <w:t>ПИСЬМО</w:t>
      </w:r>
    </w:p>
    <w:p w:rsidR="001F4150" w:rsidRDefault="001F4150">
      <w:pPr>
        <w:pStyle w:val="EcoTitle"/>
        <w:jc w:val="center"/>
      </w:pPr>
      <w:r>
        <w:t>от 3 декабря 2013 г. N 15-53/24240</w:t>
      </w:r>
    </w:p>
    <w:p w:rsidR="001F4150" w:rsidRDefault="001F4150">
      <w:pPr>
        <w:pStyle w:val="EcoTitle"/>
        <w:jc w:val="center"/>
      </w:pPr>
    </w:p>
    <w:p w:rsidR="001F4150" w:rsidRDefault="001F4150">
      <w:pPr>
        <w:pStyle w:val="EcoTitle"/>
        <w:jc w:val="center"/>
      </w:pPr>
      <w:r>
        <w:t>О СРОКАХ ДЕЙСТВИЯ ОХОТХОЗЯЙСТВЕННЫХ СОГЛАШЕНИЙ</w:t>
      </w:r>
    </w:p>
    <w:p w:rsidR="001F4150" w:rsidRDefault="001F4150">
      <w:pPr>
        <w:pStyle w:val="EcoNormal"/>
        <w:jc w:val="center"/>
      </w:pPr>
    </w:p>
    <w:p w:rsidR="001F4150" w:rsidRDefault="001F4150">
      <w:pPr>
        <w:pStyle w:val="EcoNormal"/>
        <w:ind w:firstLine="540"/>
        <w:jc w:val="both"/>
      </w:pPr>
      <w:r>
        <w:t xml:space="preserve">Департамент государственной политики и регулирования в сфере охотничьего хозяйства и объектов животного мира в связи с обращениями органов исполнительной власти субъектов Российской Федерации, уполномоченных в области охоты и сохранения охотничьих ресурсов, по вопросу срока, на который заключаются </w:t>
      </w:r>
      <w:proofErr w:type="spellStart"/>
      <w:r>
        <w:t>охотхозяйственные</w:t>
      </w:r>
      <w:proofErr w:type="spellEnd"/>
      <w:r>
        <w:t xml:space="preserve"> соглашения с юридическими лицами или индивидуальными предпринимателями, обладающими правом долгосрочного пользования животным миром на основании долгосрочных лицензий на пользование животным миром в отношении охотничьих ресурсов, сообщает.</w:t>
      </w:r>
    </w:p>
    <w:p w:rsidR="001F4150" w:rsidRDefault="001F4150">
      <w:pPr>
        <w:pStyle w:val="EcoNormal"/>
        <w:ind w:firstLine="540"/>
        <w:jc w:val="both"/>
      </w:pPr>
      <w:r>
        <w:t xml:space="preserve">В силу частей 1 и 3 статьи 71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(далее - Закон об охоте) юридические лица, индивидуальные предприниматели, обладающие правом долгосрочного пользования животным миром, возникшим на основании долгосрочных лицензий на пользование животным миром в отношении охотничьих ресурсов, вправе заключить </w:t>
      </w:r>
      <w:proofErr w:type="spellStart"/>
      <w:r>
        <w:t>охотхозяйственные</w:t>
      </w:r>
      <w:proofErr w:type="spellEnd"/>
      <w:r>
        <w:t xml:space="preserve"> соглашения в отношении охотничьих угодий, указанных в договорах о предоставлении в пользование территорий или акваторий, без проведения аукциона на право заключения </w:t>
      </w:r>
      <w:proofErr w:type="spellStart"/>
      <w:r>
        <w:t>охотхозяйственных</w:t>
      </w:r>
      <w:proofErr w:type="spellEnd"/>
      <w:r>
        <w:t xml:space="preserve"> соглашений. Такое право долгосрочного пользования сохраняется до истечения срока действия таких долгосрочных лицензий.</w:t>
      </w:r>
    </w:p>
    <w:p w:rsidR="001F4150" w:rsidRDefault="001F4150">
      <w:pPr>
        <w:pStyle w:val="EcoNormal"/>
        <w:ind w:firstLine="540"/>
        <w:jc w:val="both"/>
      </w:pPr>
      <w:r>
        <w:t xml:space="preserve">Частью 1 статьи 27 Закона об охоте установлено, что </w:t>
      </w:r>
      <w:proofErr w:type="spellStart"/>
      <w:r>
        <w:t>охотхозяйственное</w:t>
      </w:r>
      <w:proofErr w:type="spellEnd"/>
      <w:r>
        <w:t xml:space="preserve"> соглашение заключается на срок от двадцати до сорока девяти лет.</w:t>
      </w:r>
    </w:p>
    <w:p w:rsidR="001F4150" w:rsidRDefault="001F4150">
      <w:pPr>
        <w:pStyle w:val="EcoNormal"/>
        <w:ind w:firstLine="540"/>
        <w:jc w:val="both"/>
      </w:pPr>
      <w:r>
        <w:t xml:space="preserve">При этом статьей 71 Закона об охоте не установлен срок действия </w:t>
      </w:r>
      <w:proofErr w:type="spellStart"/>
      <w:r>
        <w:t>охотхозяйственных</w:t>
      </w:r>
      <w:proofErr w:type="spellEnd"/>
      <w:r>
        <w:t xml:space="preserve"> соглашений, отличный от срока, предусмотренного частью 1 статьи 27 Закона об охоте. Статья 71 Закона об охоте также не содержит запрета на заключение </w:t>
      </w:r>
      <w:proofErr w:type="spellStart"/>
      <w:r>
        <w:t>охотхозяйственных</w:t>
      </w:r>
      <w:proofErr w:type="spellEnd"/>
      <w:r>
        <w:t xml:space="preserve"> соглашений на срок, превышающий срок действия долгосрочных лицензий на пользование животным миром, выданных до вступления в силу Закона об охоте.</w:t>
      </w:r>
    </w:p>
    <w:p w:rsidR="001F4150" w:rsidRDefault="001F4150">
      <w:pPr>
        <w:pStyle w:val="EcoNormal"/>
        <w:ind w:firstLine="540"/>
        <w:jc w:val="both"/>
      </w:pPr>
      <w:r>
        <w:t xml:space="preserve">Срок окончания действия долгосрочных лицензий на пользование животным миром в отношении охотничьих ресурсов влияет исключительно на возникновение права заключения </w:t>
      </w:r>
      <w:proofErr w:type="spellStart"/>
      <w:r>
        <w:t>охотхозяйственного</w:t>
      </w:r>
      <w:proofErr w:type="spellEnd"/>
      <w:r>
        <w:t xml:space="preserve"> соглашения без проведения аукциона и не может ограничивать срок, на который заключаются </w:t>
      </w:r>
      <w:proofErr w:type="spellStart"/>
      <w:r>
        <w:t>охотхозяйственные</w:t>
      </w:r>
      <w:proofErr w:type="spellEnd"/>
      <w:r>
        <w:t xml:space="preserve"> соглашения, предусмотренный частью 1 статьи 27 Закона об охоте.</w:t>
      </w:r>
    </w:p>
    <w:p w:rsidR="001F4150" w:rsidRDefault="001F4150">
      <w:pPr>
        <w:pStyle w:val="EcoNormal"/>
        <w:ind w:firstLine="540"/>
        <w:jc w:val="both"/>
      </w:pPr>
      <w:proofErr w:type="gramStart"/>
      <w:r>
        <w:t>По существу</w:t>
      </w:r>
      <w:proofErr w:type="gramEnd"/>
      <w:r>
        <w:t xml:space="preserve"> часть 3 статьи 71 Закона об охоте предоставляет льготу прежним пользователям объектов животного мира по заключению </w:t>
      </w:r>
      <w:proofErr w:type="spellStart"/>
      <w:r>
        <w:t>охотхозяйственных</w:t>
      </w:r>
      <w:proofErr w:type="spellEnd"/>
      <w:r>
        <w:t xml:space="preserve"> соглашений без проведения аукционов, при этом данная норма не ограничивает и не устанавливает срок, на который заключается </w:t>
      </w:r>
      <w:proofErr w:type="spellStart"/>
      <w:r>
        <w:t>охотхозяйственное</w:t>
      </w:r>
      <w:proofErr w:type="spellEnd"/>
      <w:r>
        <w:t xml:space="preserve"> соглашение, а значит, такой срок определяется в соответствии с положениями части 1 статьи 27 Закона об охоте.</w:t>
      </w:r>
    </w:p>
    <w:p w:rsidR="001F4150" w:rsidRDefault="001F4150">
      <w:pPr>
        <w:pStyle w:val="EcoNormal"/>
        <w:ind w:firstLine="540"/>
        <w:jc w:val="both"/>
      </w:pPr>
      <w:r>
        <w:t xml:space="preserve">При заключении </w:t>
      </w:r>
      <w:proofErr w:type="spellStart"/>
      <w:r>
        <w:t>охотхозяйственных</w:t>
      </w:r>
      <w:proofErr w:type="spellEnd"/>
      <w:r>
        <w:t xml:space="preserve"> соглашений по основаниям, предусмотренным статьей 71 Закона об охоте, не происходит продление срока действия долгосрочной лицензии, а возникает новое основание для ведения охотничьего хозяйства - </w:t>
      </w:r>
      <w:proofErr w:type="spellStart"/>
      <w:r>
        <w:t>охотхозяйственное</w:t>
      </w:r>
      <w:proofErr w:type="spellEnd"/>
      <w:r>
        <w:t xml:space="preserve"> соглашение, условия которого, в том числе и срок его действия, должны соответствовать требованиям, установленным Законом об охоте.</w:t>
      </w:r>
    </w:p>
    <w:p w:rsidR="001F4150" w:rsidRDefault="001F4150">
      <w:pPr>
        <w:pStyle w:val="EcoNormal"/>
        <w:ind w:firstLine="540"/>
        <w:jc w:val="both"/>
      </w:pPr>
      <w:r>
        <w:t xml:space="preserve">Учитывая изложенное, установленная частью 1 статьи 27 Закона об охоте общая норма о заключении </w:t>
      </w:r>
      <w:proofErr w:type="spellStart"/>
      <w:r>
        <w:t>охотхозяйственных</w:t>
      </w:r>
      <w:proofErr w:type="spellEnd"/>
      <w:r>
        <w:t xml:space="preserve"> соглашений на срок от двадцати до сорока девяти лет применима и при заключении таких соглашений без проведения аукциона на право их заключения на основании части 3 статьи 71 Закона об охоте.</w:t>
      </w:r>
    </w:p>
    <w:p w:rsidR="001F4150" w:rsidRDefault="001F4150">
      <w:pPr>
        <w:pStyle w:val="EcoNormal"/>
        <w:ind w:firstLine="540"/>
        <w:jc w:val="both"/>
      </w:pPr>
      <w:r>
        <w:t xml:space="preserve">Верховный Суд Российской Федерации в решении от 21 ноября 2013 г. по делу N АКПИ13-1028 также отметил, что условия, в том числе срок действия </w:t>
      </w:r>
      <w:proofErr w:type="spellStart"/>
      <w:r>
        <w:t>охотхозяйственных</w:t>
      </w:r>
      <w:proofErr w:type="spellEnd"/>
      <w:r>
        <w:t xml:space="preserve"> соглашений, </w:t>
      </w:r>
      <w:r>
        <w:lastRenderedPageBreak/>
        <w:t>заключаемых по основаниям статьи 71 Закона об охоте, должны соответствовать требованиям, предусмотренным статьей 27 Закона об охоте.</w:t>
      </w:r>
    </w:p>
    <w:p w:rsidR="001F4150" w:rsidRDefault="001F4150">
      <w:pPr>
        <w:pStyle w:val="EcoNormal"/>
        <w:ind w:firstLine="540"/>
        <w:jc w:val="both"/>
      </w:pPr>
    </w:p>
    <w:p w:rsidR="001F4150" w:rsidRDefault="001F4150">
      <w:pPr>
        <w:pStyle w:val="EcoNormal"/>
        <w:jc w:val="right"/>
      </w:pPr>
      <w:r>
        <w:t>Директор</w:t>
      </w:r>
    </w:p>
    <w:p w:rsidR="001F4150" w:rsidRDefault="001F4150">
      <w:pPr>
        <w:pStyle w:val="EcoNormal"/>
        <w:jc w:val="right"/>
      </w:pPr>
      <w:r>
        <w:t>Департамента государственной</w:t>
      </w:r>
    </w:p>
    <w:p w:rsidR="001F4150" w:rsidRDefault="001F4150">
      <w:pPr>
        <w:pStyle w:val="EcoNormal"/>
        <w:jc w:val="right"/>
      </w:pPr>
      <w:r>
        <w:t>политики и регулирования</w:t>
      </w:r>
    </w:p>
    <w:p w:rsidR="001F4150" w:rsidRDefault="001F4150">
      <w:pPr>
        <w:pStyle w:val="EcoNormal"/>
        <w:jc w:val="right"/>
      </w:pPr>
      <w:r>
        <w:t>в сфере охотничьего хозяйства</w:t>
      </w:r>
    </w:p>
    <w:p w:rsidR="001F4150" w:rsidRDefault="001F4150">
      <w:pPr>
        <w:pStyle w:val="EcoNormal"/>
        <w:jc w:val="right"/>
      </w:pPr>
      <w:r>
        <w:t>и объектов животного мира</w:t>
      </w:r>
    </w:p>
    <w:p w:rsidR="001F4150" w:rsidRDefault="001F4150">
      <w:pPr>
        <w:pStyle w:val="EcoNormal"/>
        <w:jc w:val="right"/>
      </w:pPr>
      <w:r>
        <w:t>А.Е.БЕРСЕНЕВ</w:t>
      </w:r>
    </w:p>
    <w:p w:rsidR="001F4150" w:rsidRDefault="001F4150">
      <w:pPr>
        <w:pStyle w:val="EcoNormal"/>
        <w:ind w:firstLine="540"/>
        <w:jc w:val="both"/>
      </w:pPr>
    </w:p>
    <w:p w:rsidR="001F4150" w:rsidRDefault="001F4150">
      <w:pPr>
        <w:pStyle w:val="EcoNormal"/>
        <w:ind w:firstLine="540"/>
        <w:jc w:val="both"/>
      </w:pPr>
    </w:p>
    <w:p w:rsidR="001F4150" w:rsidRDefault="001F415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329C1" w:rsidRDefault="008329C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F41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F41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F415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