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E2BC5" w:rsidRDefault="003E2BC5">
      <w:pPr>
        <w:pStyle w:val="EcoNormal"/>
        <w:jc w:val="both"/>
        <w:outlineLvl w:val="0"/>
      </w:pPr>
      <w:bookmarkStart w:id="1" w:name="_GoBack"/>
      <w:bookmarkEnd w:id="1"/>
    </w:p>
    <w:p w:rsidR="003E2BC5" w:rsidRDefault="003E2BC5">
      <w:pPr>
        <w:pStyle w:val="EcoTitle"/>
        <w:jc w:val="center"/>
      </w:pPr>
      <w:r>
        <w:t>МИНИСТЕРСТВО ПРИРОДНЫХ РЕСУРСОВ И ЭКОЛОГИИ</w:t>
      </w:r>
    </w:p>
    <w:p w:rsidR="003E2BC5" w:rsidRDefault="003E2BC5">
      <w:pPr>
        <w:pStyle w:val="EcoTitle"/>
        <w:jc w:val="center"/>
      </w:pPr>
      <w:r>
        <w:t>РОССИЙСКОЙ ФЕДЕРАЦИИ</w:t>
      </w:r>
    </w:p>
    <w:p w:rsidR="003E2BC5" w:rsidRDefault="003E2BC5">
      <w:pPr>
        <w:pStyle w:val="EcoTitle"/>
        <w:jc w:val="center"/>
      </w:pPr>
    </w:p>
    <w:p w:rsidR="003E2BC5" w:rsidRDefault="003E2BC5">
      <w:pPr>
        <w:pStyle w:val="EcoTitle"/>
        <w:jc w:val="center"/>
      </w:pPr>
      <w:r>
        <w:t>ПИСЬМО</w:t>
      </w:r>
    </w:p>
    <w:p w:rsidR="003E2BC5" w:rsidRDefault="003E2BC5">
      <w:pPr>
        <w:pStyle w:val="EcoTitle"/>
        <w:jc w:val="center"/>
      </w:pPr>
      <w:r>
        <w:t>от 10 ноября 2014 г. N 15-44/25487</w:t>
      </w:r>
    </w:p>
    <w:p w:rsidR="003E2BC5" w:rsidRDefault="003E2BC5">
      <w:pPr>
        <w:pStyle w:val="EcoTitle"/>
        <w:jc w:val="center"/>
      </w:pPr>
    </w:p>
    <w:p w:rsidR="003E2BC5" w:rsidRDefault="003E2BC5">
      <w:pPr>
        <w:pStyle w:val="EcoTitle"/>
        <w:jc w:val="center"/>
      </w:pPr>
      <w:r>
        <w:t>О ГОСУДАРСТВЕННОМ МОНИТОРИНГЕ НА ООПТ ФЕДЕРАЛЬНОГО ЗНАЧЕНИЯ</w:t>
      </w:r>
    </w:p>
    <w:p w:rsidR="003E2BC5" w:rsidRDefault="003E2BC5">
      <w:pPr>
        <w:pStyle w:val="EcoNormal"/>
        <w:jc w:val="both"/>
      </w:pPr>
    </w:p>
    <w:p w:rsidR="003E2BC5" w:rsidRDefault="003E2BC5">
      <w:pPr>
        <w:pStyle w:val="EcoNormal"/>
        <w:ind w:firstLine="540"/>
        <w:jc w:val="both"/>
      </w:pPr>
      <w:r>
        <w:t xml:space="preserve">В Департамент государственной политики и регулирования в сфере охотничьего хозяйства Минприроды России поступило обращение Комитета по агропромышленному и </w:t>
      </w:r>
      <w:proofErr w:type="spellStart"/>
      <w:r>
        <w:t>рыбохозяйственному</w:t>
      </w:r>
      <w:proofErr w:type="spellEnd"/>
      <w:r>
        <w:t xml:space="preserve"> комплексу (далее - Комитет) по вопросу необоснованного предписания Департамента Федеральной службы по надзору в сфере природопользования об устранении выявленных нарушений.</w:t>
      </w:r>
    </w:p>
    <w:p w:rsidR="003E2BC5" w:rsidRDefault="003E2BC5">
      <w:pPr>
        <w:pStyle w:val="EcoNormal"/>
        <w:ind w:firstLine="540"/>
        <w:jc w:val="both"/>
      </w:pPr>
      <w:r>
        <w:t xml:space="preserve">Рассмотрев указанное обращение Комитета, сообщаем, что в соответствии с частью 4 статьи 36 Федерального закона от 24 июля 2009 г. N 209-ФЗ "Об охоте и о сохранении </w:t>
      </w:r>
      <w:proofErr w:type="gramStart"/>
      <w:r>
        <w:t>охотничьих ресурсов</w:t>
      </w:r>
      <w:proofErr w:type="gramEnd"/>
      <w:r>
        <w:t xml:space="preserve"> и о внесении изменений в отдельные законодательные акты Российской Федерации" (далее - Закон об охоте) государственный мониторинг охотничьих ресурсов и среды их обитания осуществляется органами государственной власти в пределах их полномочий в соответствии со статьями 32 - 34 Закона об охоте.</w:t>
      </w:r>
    </w:p>
    <w:p w:rsidR="003E2BC5" w:rsidRDefault="003E2BC5">
      <w:pPr>
        <w:pStyle w:val="EcoNormal"/>
        <w:ind w:firstLine="540"/>
        <w:jc w:val="both"/>
      </w:pPr>
      <w:r>
        <w:t xml:space="preserve">В соответствии со статьей 33 Закона об охоте полномочия Российской Федерации по ведению государственного </w:t>
      </w:r>
      <w:proofErr w:type="spellStart"/>
      <w:r>
        <w:t>охотхозяйственного</w:t>
      </w:r>
      <w:proofErr w:type="spellEnd"/>
      <w:r>
        <w:t xml:space="preserve"> реестра и осуществлению государственного мониторинга охотничьих ресурсов и среды их обитания на территории субъекта Российской Федерации переданы для исполнения органам государственной власти субъекта Российской Федерации.</w:t>
      </w:r>
    </w:p>
    <w:p w:rsidR="003E2BC5" w:rsidRDefault="003E2BC5">
      <w:pPr>
        <w:pStyle w:val="EcoNormal"/>
        <w:ind w:firstLine="540"/>
        <w:jc w:val="both"/>
      </w:pPr>
      <w:r>
        <w:t>Вместе с тем, положения статьи 33 Закона об охоте не предусматривают передачу органам государственной власти субъектов Российской Федерации полномочий по осуществлению государственного мониторинга охотничьих ресурсов и среды их обитания на особо охраняемых природных территориях (далее - ООПТ) федерального значения.</w:t>
      </w:r>
    </w:p>
    <w:p w:rsidR="003E2BC5" w:rsidRDefault="003E2BC5">
      <w:pPr>
        <w:pStyle w:val="EcoNormal"/>
        <w:ind w:firstLine="540"/>
        <w:jc w:val="both"/>
      </w:pPr>
      <w:r>
        <w:t>В соответствии с положениями статьи 32 Закона об охоте осуществление государственного мониторинга охотничьих ресурсов, находящихся на ООПТ федерального значения, отнесено к полномочиям органов государственной власти Российской Федерации в области охоты и сохранения охотничьих ресурсов.</w:t>
      </w:r>
    </w:p>
    <w:p w:rsidR="003E2BC5" w:rsidRDefault="003E2BC5">
      <w:pPr>
        <w:pStyle w:val="EcoNormal"/>
        <w:ind w:firstLine="540"/>
        <w:jc w:val="both"/>
      </w:pPr>
      <w:r>
        <w:t>Кроме того, в соответствии с положениями Порядка осуществления государственного мониторинга охотничьих ресурсов и среды их обитания и применения его данных, утвержденного приказом Минприроды России от 6 сентября 2010 г. N 344, государственный мониторинг на ООПТ федерального значения осуществляют природоохранные учреждения, предусмотренные законодательством об ООПТ (далее - природоохранные учреждения), которые осуществляют сбор сведений о численности и состоянии охотничьих ресурсов на ООПТ федерального значения и представляют в уполномоченный орган исполнительной власти субъекта Российской Федерации указанные сведения.</w:t>
      </w:r>
    </w:p>
    <w:p w:rsidR="003E2BC5" w:rsidRDefault="003E2BC5">
      <w:pPr>
        <w:pStyle w:val="EcoNormal"/>
        <w:ind w:firstLine="540"/>
        <w:jc w:val="both"/>
      </w:pPr>
      <w:r>
        <w:t>Таким образом, Комитет осуществляет только сбор представленных природоохранными учреждениями сведений о численности и состоянии охотничьих ресурсов на ООПТ федерального значения и не уполномочен самостоятельно осуществлять мониторинг объектов животного мира и среды их обитания (в части охотничьих ресурсов) на территории ООПТ федерального значения.</w:t>
      </w:r>
    </w:p>
    <w:p w:rsidR="003E2BC5" w:rsidRDefault="003E2BC5">
      <w:pPr>
        <w:pStyle w:val="EcoNormal"/>
        <w:ind w:firstLine="540"/>
        <w:jc w:val="both"/>
      </w:pPr>
      <w:r>
        <w:t>Учитывая изложенное, предписание Департамента Федеральной службы по надзору в сфере природопользования выдано с нарушением норм законодательства об охоте и о сохранении охотничьих ресурсов. В связи с чем Департамент просит принять меры по соблюдению законодательства об охоте и о сохранении охотничьих ресурсов при выдаче предписаний об устранении выявленных нарушений, а также обеспечить отмену ранее выданных с нарушением законодательства предписаний.</w:t>
      </w:r>
    </w:p>
    <w:p w:rsidR="003E2BC5" w:rsidRDefault="003E2BC5">
      <w:pPr>
        <w:pStyle w:val="EcoNormal"/>
        <w:jc w:val="both"/>
      </w:pPr>
    </w:p>
    <w:p w:rsidR="003E2BC5" w:rsidRDefault="003E2BC5">
      <w:pPr>
        <w:pStyle w:val="EcoNormal"/>
        <w:jc w:val="right"/>
      </w:pPr>
      <w:r>
        <w:t>Директор</w:t>
      </w:r>
    </w:p>
    <w:p w:rsidR="003E2BC5" w:rsidRDefault="003E2BC5">
      <w:pPr>
        <w:pStyle w:val="EcoNormal"/>
        <w:jc w:val="right"/>
      </w:pPr>
      <w:r>
        <w:t>Департамента государственной</w:t>
      </w:r>
    </w:p>
    <w:p w:rsidR="003E2BC5" w:rsidRDefault="003E2BC5">
      <w:pPr>
        <w:pStyle w:val="EcoNormal"/>
        <w:jc w:val="right"/>
      </w:pPr>
      <w:r>
        <w:t>политики и регулирования</w:t>
      </w:r>
    </w:p>
    <w:p w:rsidR="003E2BC5" w:rsidRDefault="003E2BC5">
      <w:pPr>
        <w:pStyle w:val="EcoNormal"/>
        <w:jc w:val="right"/>
      </w:pPr>
      <w:r>
        <w:lastRenderedPageBreak/>
        <w:t>в сфере охотничьего хозяйства</w:t>
      </w:r>
    </w:p>
    <w:p w:rsidR="003E2BC5" w:rsidRDefault="003E2BC5">
      <w:pPr>
        <w:pStyle w:val="EcoNormal"/>
        <w:jc w:val="right"/>
      </w:pPr>
      <w:r>
        <w:t>А.Е.БЕРСЕНЕВ</w:t>
      </w:r>
    </w:p>
    <w:p w:rsidR="003E2BC5" w:rsidRDefault="003E2BC5">
      <w:pPr>
        <w:pStyle w:val="EcoNormal"/>
        <w:jc w:val="both"/>
      </w:pPr>
    </w:p>
    <w:p w:rsidR="003E2BC5" w:rsidRDefault="003E2BC5">
      <w:pPr>
        <w:pStyle w:val="EcoNormal"/>
        <w:jc w:val="both"/>
      </w:pPr>
    </w:p>
    <w:p w:rsidR="003E2BC5" w:rsidRDefault="003E2BC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577B9" w:rsidRDefault="001577B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E2BC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E2BC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E2BC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