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87C2B" w:rsidRDefault="00787C2B">
      <w:pPr>
        <w:pStyle w:val="EcoNormal"/>
        <w:jc w:val="both"/>
        <w:outlineLvl w:val="0"/>
      </w:pPr>
      <w:bookmarkStart w:id="1" w:name="_GoBack"/>
      <w:bookmarkEnd w:id="1"/>
    </w:p>
    <w:p w:rsidR="00787C2B" w:rsidRDefault="00787C2B">
      <w:pPr>
        <w:pStyle w:val="EcoTitle"/>
        <w:jc w:val="center"/>
      </w:pPr>
      <w:r>
        <w:t>МИНИСТЕРСТВО ПРИРОДНЫХ РЕСУРСОВ И ЭКОЛОГИИ</w:t>
      </w:r>
    </w:p>
    <w:p w:rsidR="00787C2B" w:rsidRDefault="00787C2B">
      <w:pPr>
        <w:pStyle w:val="EcoTitle"/>
        <w:jc w:val="center"/>
      </w:pPr>
      <w:r>
        <w:t>РОССИЙСКОЙ ФЕДЕРАЦИИ</w:t>
      </w:r>
    </w:p>
    <w:p w:rsidR="00787C2B" w:rsidRDefault="00787C2B">
      <w:pPr>
        <w:pStyle w:val="EcoTitle"/>
        <w:jc w:val="center"/>
      </w:pPr>
    </w:p>
    <w:p w:rsidR="00787C2B" w:rsidRDefault="00787C2B">
      <w:pPr>
        <w:pStyle w:val="EcoTitle"/>
        <w:jc w:val="center"/>
      </w:pPr>
      <w:r>
        <w:t>ПИСЬМО</w:t>
      </w:r>
    </w:p>
    <w:p w:rsidR="00787C2B" w:rsidRDefault="00787C2B">
      <w:pPr>
        <w:pStyle w:val="EcoTitle"/>
        <w:jc w:val="center"/>
      </w:pPr>
      <w:r>
        <w:t>от 16 сентября 2016 г. N 12-50/7690-ОГ</w:t>
      </w:r>
    </w:p>
    <w:p w:rsidR="00787C2B" w:rsidRDefault="00787C2B">
      <w:pPr>
        <w:pStyle w:val="EcoTitle"/>
        <w:jc w:val="center"/>
      </w:pPr>
    </w:p>
    <w:p w:rsidR="00787C2B" w:rsidRDefault="00787C2B">
      <w:pPr>
        <w:pStyle w:val="EcoTitle"/>
        <w:jc w:val="center"/>
      </w:pPr>
      <w:r>
        <w:t>ОБ ОПРЕДЕЛЕНИИ</w:t>
      </w:r>
    </w:p>
    <w:p w:rsidR="00787C2B" w:rsidRDefault="00787C2B">
      <w:pPr>
        <w:pStyle w:val="EcoTitle"/>
        <w:jc w:val="center"/>
      </w:pPr>
      <w:r>
        <w:t>МЕСТОПОЛОЖЕНИЯ СТАЦИОНАРНЫХ ИСТОЧНИКОВ ВЫБРОСОВ</w:t>
      </w:r>
    </w:p>
    <w:p w:rsidR="00787C2B" w:rsidRDefault="00787C2B">
      <w:pPr>
        <w:pStyle w:val="EcoNormal"/>
        <w:jc w:val="both"/>
      </w:pPr>
    </w:p>
    <w:p w:rsidR="00787C2B" w:rsidRDefault="00787C2B">
      <w:pPr>
        <w:pStyle w:val="EcoNormal"/>
        <w:ind w:firstLine="540"/>
        <w:jc w:val="both"/>
      </w:pPr>
      <w:r>
        <w:t>Департамент государственной политики и регулирования в сфере охраны окружающей среды Минприроды России рассмотрел в пределах своей компетенции запрос об использовании систем координат при разработке проектов нормативов выбросов и сообщает.</w:t>
      </w:r>
    </w:p>
    <w:p w:rsidR="00787C2B" w:rsidRDefault="00787C2B">
      <w:pPr>
        <w:pStyle w:val="EcoNormal"/>
        <w:ind w:firstLine="540"/>
        <w:jc w:val="both"/>
      </w:pPr>
      <w:r>
        <w:t>Согласно ст. 1 Федерального закона "Об охране окружающей среды" (в редакции Федерального закона от 21.07.2014 N 219-ФЗ) объект, оказывающий негативное воздействие на окружающую среду - объект капитального строительства и (или) другой объект, а также их совокупность, объединенные единым назначением и (или) неразрывно связанные физически или технологически и расположенные в пределах одного или нескольких земельных участков. Стационарный источник загрязнения окружающей среды - источник загрязнения окружающей среды, местоположение которого определено с применением единой государственной системы координат или который может быть перемещен посредством передвижного источника загрязнения окружающей среды.</w:t>
      </w:r>
    </w:p>
    <w:p w:rsidR="00787C2B" w:rsidRDefault="00787C2B">
      <w:pPr>
        <w:pStyle w:val="EcoNormal"/>
        <w:ind w:firstLine="540"/>
        <w:jc w:val="both"/>
      </w:pPr>
      <w:r>
        <w:t>В соответствии с ч. 4 ст. 6 Федерального закона от 24.07.2007 N 221-ФЗ "О государственном кадастре недвижимости" для ведения государственного кадастра недвижимости используются установленные в отношении кадастровых округов местные системы координат с определенными для них параметрами перехода к единой государственной системе координат, а в установленных органом нормативно-правового регулирования в сфере кадастровых отношений случаях используется единая государственная система координат. Местные системы координат в отношении кадастровых округов устанавливаются органом кадастрового учета в порядке, предусмотренном в соответствии с законодательством о геодезии и картографии.</w:t>
      </w:r>
    </w:p>
    <w:p w:rsidR="00787C2B" w:rsidRDefault="00787C2B">
      <w:pPr>
        <w:pStyle w:val="EcoNormal"/>
        <w:ind w:firstLine="540"/>
        <w:jc w:val="both"/>
      </w:pPr>
      <w:r>
        <w:t>Заключительными положениями ч. 5 ст. 47 указанного Закона определено, что для ведения государственного кадастра недвижимости до 1 января 2017 года могут применяться установленные в отношении кадастровых округов местные системы координат. Пересчет сведений государственного кадастра недвижимости из установленных в отношении кадастровых округов местных систем координат в единую государственную систему координат обеспечивает орган кадастрового учета.</w:t>
      </w:r>
    </w:p>
    <w:p w:rsidR="00787C2B" w:rsidRDefault="00787C2B">
      <w:pPr>
        <w:pStyle w:val="EcoNormal"/>
        <w:ind w:firstLine="540"/>
        <w:jc w:val="both"/>
      </w:pPr>
      <w:r>
        <w:t>Принимая во внимание, что нормы федеральных законов имеют приоритет перед положениями актов Правительства Российской Федерации и ведомственных актов, по мнению Департамента, для определения местоположения стационарных источников при разработке проектов предельно допустимых выбросов могут быть использованы государственная система координат или местные системы координат.</w:t>
      </w:r>
    </w:p>
    <w:p w:rsidR="00787C2B" w:rsidRDefault="00787C2B">
      <w:pPr>
        <w:pStyle w:val="EcoNormal"/>
        <w:jc w:val="both"/>
      </w:pPr>
    </w:p>
    <w:p w:rsidR="00787C2B" w:rsidRDefault="00787C2B">
      <w:pPr>
        <w:pStyle w:val="EcoNormal"/>
        <w:jc w:val="right"/>
      </w:pPr>
      <w:r>
        <w:t>Директор Департамента</w:t>
      </w:r>
    </w:p>
    <w:p w:rsidR="00787C2B" w:rsidRDefault="00787C2B">
      <w:pPr>
        <w:pStyle w:val="EcoNormal"/>
        <w:jc w:val="right"/>
      </w:pPr>
      <w:r>
        <w:t>государственной политики</w:t>
      </w:r>
    </w:p>
    <w:p w:rsidR="00787C2B" w:rsidRDefault="00787C2B">
      <w:pPr>
        <w:pStyle w:val="EcoNormal"/>
        <w:jc w:val="right"/>
      </w:pPr>
      <w:r>
        <w:t>и регулирования в сфере</w:t>
      </w:r>
    </w:p>
    <w:p w:rsidR="00787C2B" w:rsidRDefault="00787C2B">
      <w:pPr>
        <w:pStyle w:val="EcoNormal"/>
        <w:jc w:val="right"/>
      </w:pPr>
      <w:r>
        <w:t>охраны окружающей среды</w:t>
      </w:r>
    </w:p>
    <w:p w:rsidR="00787C2B" w:rsidRDefault="00787C2B">
      <w:pPr>
        <w:pStyle w:val="EcoNormal"/>
        <w:jc w:val="right"/>
      </w:pPr>
      <w:r>
        <w:t>Д.М.БЕЛАНОВИЧ</w:t>
      </w:r>
    </w:p>
    <w:p w:rsidR="00787C2B" w:rsidRDefault="00787C2B">
      <w:pPr>
        <w:pStyle w:val="EcoNormal"/>
        <w:jc w:val="both"/>
      </w:pPr>
    </w:p>
    <w:p w:rsidR="00787C2B" w:rsidRDefault="00787C2B">
      <w:pPr>
        <w:pStyle w:val="EcoNormal"/>
        <w:jc w:val="both"/>
      </w:pPr>
    </w:p>
    <w:p w:rsidR="00787C2B" w:rsidRDefault="00787C2B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E365D9" w:rsidRDefault="00E365D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787C2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787C2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787C2B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