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B3AEE" w:rsidRDefault="00AB3AEE">
      <w:pPr>
        <w:pStyle w:val="EcoNormal"/>
        <w:jc w:val="both"/>
        <w:outlineLvl w:val="0"/>
      </w:pPr>
      <w:bookmarkStart w:id="1" w:name="_GoBack"/>
      <w:bookmarkEnd w:id="1"/>
    </w:p>
    <w:p w:rsidR="00AB3AEE" w:rsidRDefault="00AB3AEE">
      <w:pPr>
        <w:pStyle w:val="EcoNormal"/>
        <w:jc w:val="right"/>
        <w:outlineLvl w:val="0"/>
      </w:pPr>
      <w:r>
        <w:t>Утвержден и введен в действие</w:t>
      </w:r>
    </w:p>
    <w:p w:rsidR="00AB3AEE" w:rsidRDefault="00AB3AEE">
      <w:pPr>
        <w:pStyle w:val="EcoNormal"/>
        <w:jc w:val="right"/>
      </w:pPr>
      <w:r>
        <w:t>Приказом Федерального агентства</w:t>
      </w:r>
    </w:p>
    <w:p w:rsidR="00AB3AEE" w:rsidRDefault="00AB3AEE">
      <w:pPr>
        <w:pStyle w:val="EcoNormal"/>
        <w:jc w:val="right"/>
      </w:pPr>
      <w:r>
        <w:t>по техническому регулированию</w:t>
      </w:r>
    </w:p>
    <w:p w:rsidR="00AB3AEE" w:rsidRDefault="00AB3AEE">
      <w:pPr>
        <w:pStyle w:val="EcoNormal"/>
        <w:jc w:val="right"/>
      </w:pPr>
      <w:r>
        <w:t>и метрологии</w:t>
      </w:r>
    </w:p>
    <w:p w:rsidR="00AB3AEE" w:rsidRDefault="00AB3AEE">
      <w:pPr>
        <w:pStyle w:val="EcoNormal"/>
        <w:jc w:val="right"/>
      </w:pPr>
      <w:r>
        <w:t>от 23 декабря 2010 г. N 983-ст</w:t>
      </w:r>
    </w:p>
    <w:p w:rsidR="00AB3AEE" w:rsidRDefault="00AB3AEE">
      <w:pPr>
        <w:pStyle w:val="EcoNormal"/>
        <w:jc w:val="both"/>
      </w:pPr>
    </w:p>
    <w:p w:rsidR="00AB3AEE" w:rsidRDefault="00AB3AEE">
      <w:pPr>
        <w:pStyle w:val="EcoTitle"/>
        <w:jc w:val="center"/>
      </w:pPr>
      <w:r>
        <w:t>НАЦИОНАЛЬНЫЙ СТАНДАРТ РОССИЙСКОЙ ФЕДЕРАЦИИ</w:t>
      </w:r>
    </w:p>
    <w:p w:rsidR="00AB3AEE" w:rsidRDefault="00AB3AEE">
      <w:pPr>
        <w:pStyle w:val="EcoTitle"/>
        <w:jc w:val="center"/>
      </w:pPr>
    </w:p>
    <w:p w:rsidR="00AB3AEE" w:rsidRDefault="00AB3AEE">
      <w:pPr>
        <w:pStyle w:val="EcoTitle"/>
        <w:jc w:val="center"/>
      </w:pPr>
      <w:r>
        <w:t>РЕСУРСОСБЕРЕЖЕНИЕ</w:t>
      </w:r>
    </w:p>
    <w:p w:rsidR="00AB3AEE" w:rsidRDefault="00AB3AEE">
      <w:pPr>
        <w:pStyle w:val="EcoTitle"/>
        <w:jc w:val="center"/>
      </w:pPr>
    </w:p>
    <w:p w:rsidR="00AB3AEE" w:rsidRDefault="00AB3AEE">
      <w:pPr>
        <w:pStyle w:val="EcoTitle"/>
        <w:jc w:val="center"/>
      </w:pPr>
      <w:r>
        <w:t>КАМЕННЫЕ И БУРЫЕ УГЛИ</w:t>
      </w:r>
    </w:p>
    <w:p w:rsidR="00AB3AEE" w:rsidRDefault="00AB3AEE">
      <w:pPr>
        <w:pStyle w:val="EcoTitle"/>
        <w:jc w:val="center"/>
      </w:pPr>
    </w:p>
    <w:p w:rsidR="00AB3AEE" w:rsidRDefault="00AB3AEE">
      <w:pPr>
        <w:pStyle w:val="EcoTitle"/>
        <w:jc w:val="center"/>
      </w:pPr>
      <w:r>
        <w:t>НАИЛУЧШИЕ ДОСТУПНЫЕ ТЕХНОЛОГИИ ПРЕДОТВРАЩЕНИЯ ВЫБРОСОВ,</w:t>
      </w:r>
    </w:p>
    <w:p w:rsidR="00AB3AEE" w:rsidRDefault="00AB3AEE">
      <w:pPr>
        <w:pStyle w:val="EcoTitle"/>
        <w:jc w:val="center"/>
      </w:pPr>
      <w:r>
        <w:t>ОБРАЗУЕМЫХ В ПРОЦЕССЕ РАЗГРУЗКИ, ХРАНЕНИЯ</w:t>
      </w:r>
    </w:p>
    <w:p w:rsidR="00AB3AEE" w:rsidRDefault="00AB3AEE">
      <w:pPr>
        <w:pStyle w:val="EcoTitle"/>
        <w:jc w:val="center"/>
      </w:pPr>
      <w:r>
        <w:t>И ТРАНСПОРТИРОВАНИЯ</w:t>
      </w:r>
    </w:p>
    <w:p w:rsidR="00AB3AEE" w:rsidRDefault="00AB3AEE">
      <w:pPr>
        <w:pStyle w:val="EcoTitle"/>
        <w:jc w:val="center"/>
      </w:pPr>
    </w:p>
    <w:p w:rsidR="00AB3AEE" w:rsidRPr="00AB3AEE" w:rsidRDefault="00AB3AEE">
      <w:pPr>
        <w:pStyle w:val="EcoTitle"/>
        <w:jc w:val="center"/>
        <w:rPr>
          <w:lang w:val="en-US"/>
        </w:rPr>
      </w:pPr>
      <w:r w:rsidRPr="00AB3AEE">
        <w:rPr>
          <w:lang w:val="en-US"/>
        </w:rPr>
        <w:t>Resources saving. Stone and brown coals. Best available</w:t>
      </w:r>
    </w:p>
    <w:p w:rsidR="00AB3AEE" w:rsidRPr="00AB3AEE" w:rsidRDefault="00AB3AEE">
      <w:pPr>
        <w:pStyle w:val="EcoTitle"/>
        <w:jc w:val="center"/>
        <w:rPr>
          <w:lang w:val="en-US"/>
        </w:rPr>
      </w:pPr>
      <w:r w:rsidRPr="00AB3AEE">
        <w:rPr>
          <w:lang w:val="en-US"/>
        </w:rPr>
        <w:t>techniques in prevention of emissions unloading, storage</w:t>
      </w:r>
    </w:p>
    <w:p w:rsidR="00AB3AEE" w:rsidRPr="00AB3AEE" w:rsidRDefault="00AB3AEE">
      <w:pPr>
        <w:pStyle w:val="EcoTitle"/>
        <w:jc w:val="center"/>
        <w:rPr>
          <w:lang w:val="en-US"/>
        </w:rPr>
      </w:pPr>
      <w:r w:rsidRPr="00AB3AEE">
        <w:rPr>
          <w:lang w:val="en-US"/>
        </w:rPr>
        <w:t>and transportation</w:t>
      </w:r>
    </w:p>
    <w:p w:rsidR="00AB3AEE" w:rsidRPr="00AB3AEE" w:rsidRDefault="00AB3AEE">
      <w:pPr>
        <w:pStyle w:val="EcoTitle"/>
        <w:jc w:val="center"/>
        <w:rPr>
          <w:lang w:val="en-US"/>
        </w:rPr>
      </w:pPr>
    </w:p>
    <w:p w:rsidR="00AB3AEE" w:rsidRPr="00AB3AEE" w:rsidRDefault="00AB3AEE">
      <w:pPr>
        <w:pStyle w:val="EcoTitle"/>
        <w:jc w:val="center"/>
        <w:rPr>
          <w:lang w:val="en-US"/>
        </w:rPr>
      </w:pPr>
      <w:r>
        <w:t>ГОСТ</w:t>
      </w:r>
      <w:r w:rsidRPr="00AB3AEE">
        <w:rPr>
          <w:lang w:val="en-US"/>
        </w:rPr>
        <w:t xml:space="preserve"> </w:t>
      </w:r>
      <w:r>
        <w:t>Р</w:t>
      </w:r>
      <w:r w:rsidRPr="00AB3AEE">
        <w:rPr>
          <w:lang w:val="en-US"/>
        </w:rPr>
        <w:t xml:space="preserve"> 54203-2010</w:t>
      </w:r>
    </w:p>
    <w:p w:rsidR="00AB3AEE" w:rsidRPr="00AB3AEE" w:rsidRDefault="00AB3AEE">
      <w:pPr>
        <w:pStyle w:val="EcoNormal"/>
        <w:jc w:val="both"/>
        <w:rPr>
          <w:lang w:val="en-US"/>
        </w:rPr>
      </w:pPr>
    </w:p>
    <w:p w:rsidR="00AB3AEE" w:rsidRPr="00AB3AEE" w:rsidRDefault="00AB3AEE">
      <w:pPr>
        <w:pStyle w:val="EcoNormal"/>
        <w:jc w:val="right"/>
        <w:rPr>
          <w:lang w:val="en-US"/>
        </w:rPr>
      </w:pPr>
      <w:r>
        <w:t>Группа</w:t>
      </w:r>
      <w:r w:rsidRPr="00AB3AEE">
        <w:rPr>
          <w:lang w:val="en-US"/>
        </w:rPr>
        <w:t xml:space="preserve"> </w:t>
      </w:r>
      <w:r>
        <w:t>Т</w:t>
      </w:r>
      <w:r w:rsidRPr="00AB3AEE">
        <w:rPr>
          <w:lang w:val="en-US"/>
        </w:rPr>
        <w:t>58</w:t>
      </w:r>
    </w:p>
    <w:p w:rsidR="00AB3AEE" w:rsidRPr="00AB3AEE" w:rsidRDefault="00AB3AEE">
      <w:pPr>
        <w:pStyle w:val="EcoNormal"/>
        <w:jc w:val="right"/>
        <w:rPr>
          <w:lang w:val="en-US"/>
        </w:rPr>
      </w:pPr>
    </w:p>
    <w:p w:rsidR="00AB3AEE" w:rsidRDefault="00AB3AEE">
      <w:pPr>
        <w:pStyle w:val="EcoNormal"/>
        <w:jc w:val="right"/>
      </w:pPr>
      <w:r>
        <w:t>ОКС 13.020</w:t>
      </w:r>
    </w:p>
    <w:p w:rsidR="00AB3AEE" w:rsidRDefault="00AB3AEE">
      <w:pPr>
        <w:pStyle w:val="EcoNormal"/>
        <w:jc w:val="right"/>
      </w:pPr>
    </w:p>
    <w:p w:rsidR="00AB3AEE" w:rsidRDefault="00AB3AEE">
      <w:pPr>
        <w:pStyle w:val="EcoNormal"/>
        <w:jc w:val="right"/>
      </w:pPr>
      <w:r>
        <w:t>Дата введения</w:t>
      </w:r>
    </w:p>
    <w:p w:rsidR="00AB3AEE" w:rsidRDefault="00AB3AEE">
      <w:pPr>
        <w:pStyle w:val="EcoNormal"/>
        <w:jc w:val="right"/>
      </w:pPr>
      <w:r>
        <w:t>1 января 2012 года</w:t>
      </w:r>
    </w:p>
    <w:p w:rsidR="00AB3AEE" w:rsidRDefault="00AB3AEE">
      <w:pPr>
        <w:pStyle w:val="EcoNormal"/>
        <w:jc w:val="both"/>
      </w:pPr>
    </w:p>
    <w:p w:rsidR="00AB3AEE" w:rsidRDefault="00AB3AEE">
      <w:pPr>
        <w:pStyle w:val="EcoNormal"/>
        <w:jc w:val="center"/>
        <w:outlineLvl w:val="1"/>
      </w:pPr>
      <w:r>
        <w:t>Предисловие</w:t>
      </w:r>
    </w:p>
    <w:p w:rsidR="00AB3AEE" w:rsidRDefault="00AB3AEE">
      <w:pPr>
        <w:pStyle w:val="EcoNormal"/>
        <w:jc w:val="center"/>
      </w:pPr>
    </w:p>
    <w:p w:rsidR="00AB3AEE" w:rsidRDefault="00AB3AEE">
      <w:pPr>
        <w:pStyle w:val="EcoNormal"/>
        <w:ind w:firstLine="540"/>
        <w:jc w:val="both"/>
      </w:pPr>
      <w:r>
        <w:t>Цели и принципы стандартизации в Российской Федерации установлены Федеральным законом от 27 декабря 2002 г. N 184-ФЗ "О техническом регулировании", а правила применения национальных стандартов Российской Федерации - ГОСТ Р 1.0-2004 "Стандартизация в Российской Федерации. Основные положения".</w:t>
      </w:r>
    </w:p>
    <w:p w:rsidR="00AB3AEE" w:rsidRDefault="00AB3AEE">
      <w:pPr>
        <w:pStyle w:val="EcoNormal"/>
        <w:jc w:val="both"/>
      </w:pPr>
    </w:p>
    <w:p w:rsidR="00AB3AEE" w:rsidRDefault="00AB3AEE">
      <w:pPr>
        <w:pStyle w:val="EcoNormal"/>
        <w:jc w:val="center"/>
        <w:outlineLvl w:val="1"/>
      </w:pPr>
      <w:r>
        <w:t>Сведения о стандарте</w:t>
      </w:r>
    </w:p>
    <w:p w:rsidR="00AB3AEE" w:rsidRDefault="00AB3AEE">
      <w:pPr>
        <w:pStyle w:val="EcoNormal"/>
        <w:jc w:val="both"/>
      </w:pPr>
    </w:p>
    <w:p w:rsidR="00AB3AEE" w:rsidRDefault="00AB3AEE">
      <w:pPr>
        <w:pStyle w:val="EcoNormal"/>
        <w:ind w:firstLine="540"/>
        <w:jc w:val="both"/>
      </w:pPr>
      <w:r>
        <w:t>1. Разработан Федеральным государственным унитарным предприятием "Всероссийский научно-исследовательский центр стандартизации, информации и сертификации сырья, материалов и веществ" (ФГУП "ВНИЦСМВ") совместно с Закрытым акционерным обществом "Инновационный экологический фонд" ("ИНЭКО" ЗАО).</w:t>
      </w:r>
    </w:p>
    <w:p w:rsidR="00AB3AEE" w:rsidRDefault="00AB3AEE">
      <w:pPr>
        <w:pStyle w:val="EcoNormal"/>
        <w:ind w:firstLine="540"/>
        <w:jc w:val="both"/>
      </w:pPr>
      <w:r>
        <w:t>2. Внесен ТК 349 "Обращение с отходами".</w:t>
      </w:r>
    </w:p>
    <w:p w:rsidR="00AB3AEE" w:rsidRDefault="00AB3AEE">
      <w:pPr>
        <w:pStyle w:val="EcoNormal"/>
        <w:ind w:firstLine="540"/>
        <w:jc w:val="both"/>
      </w:pPr>
      <w:r>
        <w:t>3. Утвержден и введен в действие Приказом Федерального агентства по техническому регулированию и метрологии от 23 декабря 2010 г. N 983-ст.</w:t>
      </w:r>
    </w:p>
    <w:p w:rsidR="00AB3AEE" w:rsidRDefault="00AB3AEE">
      <w:pPr>
        <w:pStyle w:val="EcoNormal"/>
        <w:ind w:firstLine="540"/>
        <w:jc w:val="both"/>
      </w:pPr>
      <w:r>
        <w:t>4. Настоящий стандарт разработан с учетом основных положений Справочника ЕС по наилучшим доступным технологиям "Европейская комиссия. Комплексное предупреждение и контроль загрязнений. Сжигание топлива на крупных промышленных предприятиях в энергетических целях. Июль</w:t>
      </w:r>
      <w:r w:rsidRPr="00AB3AEE">
        <w:rPr>
          <w:lang w:val="en-US"/>
        </w:rPr>
        <w:t xml:space="preserve"> 2006 </w:t>
      </w:r>
      <w:r>
        <w:t>г</w:t>
      </w:r>
      <w:r w:rsidRPr="00AB3AEE">
        <w:rPr>
          <w:lang w:val="en-US"/>
        </w:rPr>
        <w:t xml:space="preserve">." ("European Commission. Integrated Pollution Prevention and Control. Reference Document on Best Available Techniques for Large Combustion Plants. </w:t>
      </w:r>
      <w:proofErr w:type="spellStart"/>
      <w:r>
        <w:t>July</w:t>
      </w:r>
      <w:proofErr w:type="spellEnd"/>
      <w:r>
        <w:t xml:space="preserve"> 2006").</w:t>
      </w:r>
    </w:p>
    <w:p w:rsidR="00AB3AEE" w:rsidRDefault="00AB3AEE">
      <w:pPr>
        <w:pStyle w:val="EcoNormal"/>
        <w:ind w:firstLine="540"/>
        <w:jc w:val="both"/>
      </w:pPr>
      <w:r>
        <w:t>5. Введен впервые.</w:t>
      </w:r>
    </w:p>
    <w:p w:rsidR="00AB3AEE" w:rsidRDefault="00AB3AEE">
      <w:pPr>
        <w:pStyle w:val="EcoNormal"/>
        <w:ind w:firstLine="540"/>
        <w:jc w:val="both"/>
      </w:pPr>
    </w:p>
    <w:p w:rsidR="00AB3AEE" w:rsidRDefault="00AB3AEE">
      <w:pPr>
        <w:pStyle w:val="EcoNormal"/>
        <w:ind w:firstLine="540"/>
        <w:jc w:val="both"/>
      </w:pPr>
      <w:r>
        <w:t xml:space="preserve">Информация об изменениях к настоящему стандарту публикуется в ежегодно издаваемом </w:t>
      </w:r>
      <w:r>
        <w:lastRenderedPageBreak/>
        <w:t>информационном указателе "Национальные стандарты", а текст изменений и поправок - в ежемесячно издаваемых информационных указателях "Национальные стандарты". В случае пересмотра (замены) или отмены настоящего стандарта соответствующее уведомление будет опубликовано в ежемесячно издаваемом информационном указателе "Национальные стандарты". Соответствующая информация, уведомление и тексты размещаются также в информационной системе общего пользования - на официальном сайте Федерального агентства по техническому регулированию и метрологии в сети Интернет.</w:t>
      </w:r>
    </w:p>
    <w:p w:rsidR="00AB3AEE" w:rsidRDefault="00AB3AEE">
      <w:pPr>
        <w:pStyle w:val="EcoNormal"/>
        <w:jc w:val="both"/>
      </w:pPr>
    </w:p>
    <w:p w:rsidR="00AB3AEE" w:rsidRDefault="00AB3AEE">
      <w:pPr>
        <w:pStyle w:val="EcoNormal"/>
        <w:jc w:val="center"/>
        <w:outlineLvl w:val="1"/>
      </w:pPr>
      <w:r>
        <w:t>Введение</w:t>
      </w:r>
    </w:p>
    <w:p w:rsidR="00AB3AEE" w:rsidRDefault="00AB3AEE">
      <w:pPr>
        <w:pStyle w:val="EcoNormal"/>
      </w:pPr>
    </w:p>
    <w:p w:rsidR="00AB3AEE" w:rsidRDefault="00AB3AEE">
      <w:pPr>
        <w:pStyle w:val="EcoNormal"/>
        <w:ind w:firstLine="540"/>
        <w:jc w:val="both"/>
      </w:pPr>
      <w:r>
        <w:t xml:space="preserve">Настоящий стандарт целесообразно применять совместно с разделом "Как понимать и использовать этот справочник по наилучшим доступным технологиям" Справочника ЕС [1]. Технологии, связанные с ними выбросы/сбросы и/или </w:t>
      </w:r>
      <w:proofErr w:type="gramStart"/>
      <w:r>
        <w:t>вопросы потребления первичного сырья и энергии</w:t>
      </w:r>
      <w:proofErr w:type="gramEnd"/>
      <w:r>
        <w:t xml:space="preserve"> были рассмотрены в Справочнике ЕС [1] как циклический процесс, включающий следующие этапы:</w:t>
      </w:r>
    </w:p>
    <w:p w:rsidR="00AB3AEE" w:rsidRDefault="00AB3AEE">
      <w:pPr>
        <w:pStyle w:val="EcoNormal"/>
        <w:ind w:firstLine="540"/>
        <w:jc w:val="both"/>
      </w:pPr>
      <w:r>
        <w:t>- идентификация ключевых экологических проблем для сектора, в котором образуются выбросы в атмосферу, сбросы в воду, твердые отходы;</w:t>
      </w:r>
    </w:p>
    <w:p w:rsidR="00AB3AEE" w:rsidRDefault="00AB3AEE">
      <w:pPr>
        <w:pStyle w:val="EcoNormal"/>
        <w:ind w:firstLine="540"/>
        <w:jc w:val="both"/>
      </w:pPr>
      <w:r>
        <w:t>- экспертиза технологий, наиболее приемлемых для решения ключевых экологических проблем;</w:t>
      </w:r>
    </w:p>
    <w:p w:rsidR="00AB3AEE" w:rsidRDefault="00AB3AEE">
      <w:pPr>
        <w:pStyle w:val="EcoNormal"/>
        <w:ind w:firstLine="540"/>
        <w:jc w:val="both"/>
      </w:pPr>
      <w:r>
        <w:t>- идентификация наилучшего уровня экологической результативности на основе данных, доступных в Европейском союзе и на мировом уровне;</w:t>
      </w:r>
    </w:p>
    <w:p w:rsidR="00AB3AEE" w:rsidRDefault="00AB3AEE">
      <w:pPr>
        <w:pStyle w:val="EcoNormal"/>
        <w:ind w:firstLine="540"/>
        <w:jc w:val="both"/>
      </w:pPr>
      <w:r>
        <w:t>- экспертиза условий, при которых достигались эти уровни результативности, таких как затраты, воздействие на окружающую среду;</w:t>
      </w:r>
    </w:p>
    <w:p w:rsidR="00AB3AEE" w:rsidRDefault="00AB3AEE">
      <w:pPr>
        <w:pStyle w:val="EcoNormal"/>
        <w:ind w:firstLine="540"/>
        <w:jc w:val="both"/>
      </w:pPr>
      <w:r>
        <w:t>- выбор наилучших доступных технологий (НДТ) и определение связанных с ними выбросов/сбросов и/или потребления первичного сырья и энергии для этого сектора промышленности.</w:t>
      </w:r>
    </w:p>
    <w:p w:rsidR="00AB3AEE" w:rsidRDefault="00AB3AEE">
      <w:pPr>
        <w:pStyle w:val="EcoNormal"/>
        <w:ind w:firstLine="540"/>
        <w:jc w:val="both"/>
      </w:pPr>
      <w:r>
        <w:t>Ключевую роль в каждом из этих этапов и последующих способах представления полученной информации в Справочнике ЕС [1] играли экспертные оценки Европейского бюро по комплексному предупреждению и контролю загрязнений (EIPPCB), Института перспективных технологических исследований (</w:t>
      </w:r>
      <w:proofErr w:type="spellStart"/>
      <w:r>
        <w:t>Institute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Prospective</w:t>
      </w:r>
      <w:proofErr w:type="spellEnd"/>
      <w:r>
        <w:t xml:space="preserve"> </w:t>
      </w:r>
      <w:proofErr w:type="spellStart"/>
      <w:r>
        <w:t>Technological</w:t>
      </w:r>
      <w:proofErr w:type="spellEnd"/>
      <w:r>
        <w:t xml:space="preserve"> </w:t>
      </w:r>
      <w:proofErr w:type="spellStart"/>
      <w:r>
        <w:t>Studies</w:t>
      </w:r>
      <w:proofErr w:type="spellEnd"/>
      <w:r>
        <w:t xml:space="preserve"> - IPTS) (Испания, г. Севилья) и соответствующей Технической рабочей группы (</w:t>
      </w:r>
      <w:proofErr w:type="spellStart"/>
      <w:r>
        <w:t>Technical</w:t>
      </w:r>
      <w:proofErr w:type="spellEnd"/>
      <w:r>
        <w:t xml:space="preserve"> </w:t>
      </w:r>
      <w:proofErr w:type="spellStart"/>
      <w:r>
        <w:t>Working</w:t>
      </w:r>
      <w:proofErr w:type="spellEnd"/>
      <w:r>
        <w:t xml:space="preserve"> </w:t>
      </w:r>
      <w:proofErr w:type="spellStart"/>
      <w:r>
        <w:t>Group</w:t>
      </w:r>
      <w:proofErr w:type="spellEnd"/>
      <w:r>
        <w:t xml:space="preserve"> - TWG).</w:t>
      </w:r>
    </w:p>
    <w:p w:rsidR="00AB3AEE" w:rsidRDefault="00AB3AEE">
      <w:pPr>
        <w:pStyle w:val="EcoNormal"/>
        <w:ind w:firstLine="540"/>
        <w:jc w:val="both"/>
      </w:pPr>
      <w:r>
        <w:t>На основе этих оценок в Справочнике ЕС [1] представлены технологии и (в максимально возможной степени) уровни выбросов/сбросов и потребления сырья и энергии, связанные с использованием НДТ, которые соответствуют отрасли в целом и во многих случаях отражают текущую работу действующих установок в конкретной отрасли.</w:t>
      </w:r>
    </w:p>
    <w:p w:rsidR="00AB3AEE" w:rsidRDefault="00AB3AEE">
      <w:pPr>
        <w:pStyle w:val="EcoNormal"/>
        <w:ind w:firstLine="540"/>
        <w:jc w:val="both"/>
      </w:pPr>
      <w:r>
        <w:t>Справочник ЕС [1] предназначен для того, чтобы указать общую НДТ, являющуюся контрольной точкой при оценке текущей работы в существующих условиях или при их изменении.</w:t>
      </w:r>
    </w:p>
    <w:p w:rsidR="00AB3AEE" w:rsidRDefault="00AB3AEE">
      <w:pPr>
        <w:pStyle w:val="EcoNormal"/>
        <w:ind w:firstLine="540"/>
        <w:jc w:val="both"/>
      </w:pPr>
      <w:r>
        <w:t>Справочник ЕС [1] не устанавливает юридически обязательные нормы, так как он предназначен для того, чтобы дать общую руководящую информацию для отраслей промышленности, государств - членов ЕС и общественности о выбросах/сбросах и уровнях потребления, достижимых при использовании определенных технологий. Соответствующие предельные показатели для любого конкретного случая следует определять с учетом целей Директивы Европейского парламента и Совета ЕС 2008/1/ЕС от 15 января 2008 г. "О комплексном предупреждении и контроле загрязнений" (</w:t>
      </w:r>
      <w:proofErr w:type="spellStart"/>
      <w:r>
        <w:t>Directive</w:t>
      </w:r>
      <w:proofErr w:type="spellEnd"/>
      <w:r>
        <w:t xml:space="preserve"> 2008/1/ЕС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European</w:t>
      </w:r>
      <w:proofErr w:type="spellEnd"/>
      <w:r>
        <w:t xml:space="preserve"> </w:t>
      </w:r>
      <w:proofErr w:type="spellStart"/>
      <w:r>
        <w:t>Parliament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Council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15 </w:t>
      </w:r>
      <w:proofErr w:type="spellStart"/>
      <w:r>
        <w:t>January</w:t>
      </w:r>
      <w:proofErr w:type="spellEnd"/>
      <w:r>
        <w:t xml:space="preserve"> 2008 </w:t>
      </w:r>
      <w:proofErr w:type="spellStart"/>
      <w:r>
        <w:t>concerning</w:t>
      </w:r>
      <w:proofErr w:type="spellEnd"/>
      <w:r>
        <w:t xml:space="preserve"> </w:t>
      </w:r>
      <w:proofErr w:type="spellStart"/>
      <w:r>
        <w:t>integrated</w:t>
      </w:r>
      <w:proofErr w:type="spellEnd"/>
      <w:r>
        <w:t xml:space="preserve"> </w:t>
      </w:r>
      <w:proofErr w:type="spellStart"/>
      <w:r>
        <w:t>pollution</w:t>
      </w:r>
      <w:proofErr w:type="spellEnd"/>
      <w:r>
        <w:t xml:space="preserve"> </w:t>
      </w:r>
      <w:proofErr w:type="spellStart"/>
      <w:r>
        <w:t>prevention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control</w:t>
      </w:r>
      <w:proofErr w:type="spellEnd"/>
      <w:r>
        <w:t>) [2] и местных условий.</w:t>
      </w:r>
    </w:p>
    <w:p w:rsidR="00AB3AEE" w:rsidRDefault="00AB3AEE">
      <w:pPr>
        <w:pStyle w:val="EcoNormal"/>
        <w:ind w:firstLine="540"/>
        <w:jc w:val="both"/>
      </w:pPr>
      <w:r>
        <w:t>Справочник ЕС [1] предназначен для того, чтобы рекомендовать НДТ, которые целесообразно применять при оценке существующей технологии или при оценке новой (проектируемой) технологии при разгрузке, транспортировании и хранении твердого топлива.</w:t>
      </w:r>
    </w:p>
    <w:p w:rsidR="00AB3AEE" w:rsidRDefault="00AB3AEE">
      <w:pPr>
        <w:pStyle w:val="EcoNormal"/>
        <w:ind w:firstLine="540"/>
        <w:jc w:val="both"/>
      </w:pPr>
      <w:r>
        <w:t>В будущем могут быть разработаны новые технологии и технические средства, которые будут соответствовать рекомендованным НДТ или окажутся лучше. Следует также допускать, что в существующих условиях можно достичь уровня НДТ или добиться большего успеха в каждом конкретном случае.</w:t>
      </w:r>
    </w:p>
    <w:p w:rsidR="00AB3AEE" w:rsidRDefault="00AB3AEE">
      <w:pPr>
        <w:pStyle w:val="EcoNormal"/>
        <w:ind w:firstLine="540"/>
        <w:jc w:val="both"/>
      </w:pPr>
      <w:r>
        <w:t xml:space="preserve">Настоящий стандарт дополняет действующие национальные стандарты Российской </w:t>
      </w:r>
      <w:r>
        <w:lastRenderedPageBreak/>
        <w:t>Федерации в сфере предотвращения выбросов, образуемых в процессах разгрузки, хранения и транспортирования каменного и бурого угля.</w:t>
      </w:r>
    </w:p>
    <w:p w:rsidR="00AB3AEE" w:rsidRDefault="00AB3AEE">
      <w:pPr>
        <w:pStyle w:val="EcoNormal"/>
      </w:pPr>
    </w:p>
    <w:p w:rsidR="00AB3AEE" w:rsidRDefault="00AB3AEE">
      <w:pPr>
        <w:pStyle w:val="EcoNormal"/>
        <w:jc w:val="center"/>
        <w:outlineLvl w:val="1"/>
      </w:pPr>
      <w:r>
        <w:t>1. ОБЛАСТЬ ПРИМЕНЕНИЯ</w:t>
      </w:r>
    </w:p>
    <w:p w:rsidR="00AB3AEE" w:rsidRDefault="00AB3AEE">
      <w:pPr>
        <w:pStyle w:val="EcoNormal"/>
        <w:jc w:val="both"/>
      </w:pPr>
    </w:p>
    <w:p w:rsidR="00AB3AEE" w:rsidRDefault="00AB3AEE">
      <w:pPr>
        <w:pStyle w:val="EcoNormal"/>
        <w:ind w:firstLine="540"/>
        <w:jc w:val="both"/>
      </w:pPr>
      <w:r>
        <w:t>Настоящий стандарт устанавливает наилучшие доступные технологии (НДТ) в сфере предотвращения выбросов, образуемых в процессах разгрузки, хранения и транспортирования каменного и бурого угля.</w:t>
      </w:r>
    </w:p>
    <w:p w:rsidR="00AB3AEE" w:rsidRDefault="00AB3AEE">
      <w:pPr>
        <w:pStyle w:val="EcoNormal"/>
        <w:ind w:firstLine="540"/>
        <w:jc w:val="both"/>
      </w:pPr>
      <w:r>
        <w:t>Настоящий стандарт распространяется на методы совершенствования технологий разгрузки, хранения и транспортирования каменного и бурого угля на промышленных предприятиях за счет применения соответствующих НДТ, позволяющих снизить негативное влияние на состояние окружающей среды на территории и вблизи этих предприятий.</w:t>
      </w:r>
    </w:p>
    <w:p w:rsidR="00AB3AEE" w:rsidRDefault="00AB3AEE">
      <w:pPr>
        <w:pStyle w:val="EcoNormal"/>
        <w:ind w:firstLine="540"/>
        <w:jc w:val="both"/>
      </w:pPr>
      <w:r>
        <w:t>Настоящий стандарт не распространяется на технологии, связанные с биологическими, химическими и атомными предприятиями.</w:t>
      </w:r>
    </w:p>
    <w:p w:rsidR="00AB3AEE" w:rsidRDefault="00AB3AEE">
      <w:pPr>
        <w:pStyle w:val="EcoNormal"/>
        <w:ind w:firstLine="540"/>
        <w:jc w:val="both"/>
      </w:pPr>
      <w:r>
        <w:t xml:space="preserve">Настоящий стандарт рекомендуется использовать во всех видах документации и литературы, относящихся к сферам обеспечения ресурсосбережения, </w:t>
      </w:r>
      <w:proofErr w:type="spellStart"/>
      <w:r>
        <w:t>энергоэффективности</w:t>
      </w:r>
      <w:proofErr w:type="spellEnd"/>
      <w:r>
        <w:t xml:space="preserve"> и экологической безопасности в процессах хозяйственной деятельности при сжигании твердого топлива на крупных промышленных предприятиях.</w:t>
      </w:r>
    </w:p>
    <w:p w:rsidR="00AB3AEE" w:rsidRDefault="00AB3AEE">
      <w:pPr>
        <w:pStyle w:val="EcoNormal"/>
        <w:jc w:val="both"/>
      </w:pPr>
    </w:p>
    <w:p w:rsidR="00AB3AEE" w:rsidRDefault="00AB3AEE">
      <w:pPr>
        <w:pStyle w:val="EcoNormal"/>
        <w:jc w:val="center"/>
        <w:outlineLvl w:val="1"/>
      </w:pPr>
      <w:r>
        <w:t>2. НОРМАТИВНЫЕ ССЫЛКИ</w:t>
      </w:r>
    </w:p>
    <w:p w:rsidR="00AB3AEE" w:rsidRDefault="00AB3AEE">
      <w:pPr>
        <w:pStyle w:val="EcoNormal"/>
        <w:jc w:val="both"/>
      </w:pPr>
    </w:p>
    <w:p w:rsidR="00AB3AEE" w:rsidRDefault="00AB3AEE">
      <w:pPr>
        <w:pStyle w:val="EcoNormal"/>
        <w:ind w:firstLine="540"/>
        <w:jc w:val="both"/>
      </w:pPr>
      <w:r>
        <w:t>В настоящем стандарте использованы нормативные ссылки на следующие стандарты:</w:t>
      </w:r>
    </w:p>
    <w:p w:rsidR="00AB3AEE" w:rsidRDefault="00AB3AEE">
      <w:pPr>
        <w:pStyle w:val="EcoNormal"/>
        <w:ind w:firstLine="540"/>
        <w:jc w:val="both"/>
      </w:pPr>
      <w:r>
        <w:t>ГОСТ Р ИСО 9000-2004 Системы менеджмента качества. Основные положения и словарь</w:t>
      </w:r>
    </w:p>
    <w:p w:rsidR="00AB3AEE" w:rsidRDefault="00AB3AEE">
      <w:pPr>
        <w:pStyle w:val="EcoNormal"/>
        <w:ind w:firstLine="540"/>
        <w:jc w:val="both"/>
      </w:pPr>
      <w:r>
        <w:t>ГОСТ Р ИСО 14050-2009 Менеджмент окружающей среды. Словарь</w:t>
      </w:r>
    </w:p>
    <w:p w:rsidR="00AB3AEE" w:rsidRDefault="00AB3AEE">
      <w:pPr>
        <w:pStyle w:val="EcoNormal"/>
        <w:ind w:firstLine="540"/>
        <w:jc w:val="both"/>
      </w:pPr>
      <w:r>
        <w:t>ГОСТ Р 51387-99 Энергосбережение. Нормативно-методическое обеспечение. Основные положения</w:t>
      </w:r>
    </w:p>
    <w:p w:rsidR="00AB3AEE" w:rsidRDefault="00AB3AEE">
      <w:pPr>
        <w:pStyle w:val="EcoNormal"/>
        <w:ind w:firstLine="540"/>
        <w:jc w:val="both"/>
      </w:pPr>
      <w:r>
        <w:t>ГОСТ 30772-2001 Ресурсосбережение. Обращение с отходами. Термины и определения</w:t>
      </w:r>
    </w:p>
    <w:p w:rsidR="00AB3AEE" w:rsidRDefault="00AB3AEE">
      <w:pPr>
        <w:pStyle w:val="EcoNormal"/>
        <w:ind w:firstLine="540"/>
        <w:jc w:val="both"/>
      </w:pPr>
      <w:r>
        <w:t>Примечание. При пользовании настоящим стандартом целесообразно проверить действие ссылочных стандартов в информационной системе общего пользования - на официальном сайте Федерального агентства по техническому регулированию и метрологии в сети Интернет или по ежегодно издаваемому информационному указателю "Национальные стандарты", который опубликован по состоянию на 1 января текущего года, и по соответствующим ежемесячно издаваемым информационным указателям, опубликованным в текущем году. Если ссылочный стандарт заменен (изменен), то при пользовании настоящим стандартом следует руководствоваться заменяющим (измененным) стандартом. Если ссылочный стандарт отменен без замены, то положение, в котором дана ссылка на него, применяется в части, не затрагивающей эту ссылку.</w:t>
      </w:r>
    </w:p>
    <w:p w:rsidR="00AB3AEE" w:rsidRDefault="00AB3AEE">
      <w:pPr>
        <w:pStyle w:val="EcoNormal"/>
        <w:jc w:val="both"/>
      </w:pPr>
    </w:p>
    <w:p w:rsidR="00AB3AEE" w:rsidRDefault="00AB3AEE">
      <w:pPr>
        <w:pStyle w:val="EcoNormal"/>
        <w:jc w:val="center"/>
        <w:outlineLvl w:val="1"/>
      </w:pPr>
      <w:r>
        <w:t>3. ТЕРМИНЫ И ОПРЕДЕЛЕНИЯ</w:t>
      </w:r>
    </w:p>
    <w:p w:rsidR="00AB3AEE" w:rsidRDefault="00AB3AEE">
      <w:pPr>
        <w:pStyle w:val="EcoNormal"/>
        <w:jc w:val="both"/>
      </w:pPr>
    </w:p>
    <w:p w:rsidR="00AB3AEE" w:rsidRDefault="00AB3AEE">
      <w:pPr>
        <w:pStyle w:val="EcoNormal"/>
        <w:ind w:firstLine="540"/>
        <w:jc w:val="both"/>
      </w:pPr>
      <w:r>
        <w:t>В настоящем стандарте применены термины по ГОСТ Р ИСО 9000, ГОСТ Р ИСО 14050, ГОСТ Р 51387, ГОСТ 30772, а также следующие термины с соответствующими определениями:</w:t>
      </w:r>
    </w:p>
    <w:p w:rsidR="00AB3AEE" w:rsidRDefault="00AB3AEE">
      <w:pPr/>
    </w:p>
    <w:p w:rsidR="00AB3AEE" w:rsidRDefault="00AB3AEE">
      <w:pPr>
        <w:pStyle w:val="EcoNormal"/>
        <w:ind w:firstLine="540"/>
        <w:jc w:val="both"/>
      </w:pPr>
    </w:p>
    <w:tbl>
      <w:tblPr>
        <w:tblW w:w="0" w:type="auto"/>
        <w:tblInd w:w="-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420"/>
      </w:tblGrid>
      <w:tr w:rsidR="00AB3AEE">
        <w:tc>
          <w:tcPr>
            <w:tcW w:w="94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B3AEE" w:rsidRDefault="00AB3AEE">
            <w:pPr>
              <w:pStyle w:val="EcoNormal"/>
              <w:jc w:val="both"/>
            </w:pPr>
            <w:r>
              <w:t>3.1. Наилучшая доступная технология; НДТ: технологический процесс, технический метод, основанный на современных достижениях науки и техники, направленный на снижение негативного воздействия хозяйственной деятельности на окружающую среду и имеющий установленный срок практического применения с учетом экономических, технических, экологических и социальных факторов.</w:t>
            </w:r>
          </w:p>
        </w:tc>
      </w:tr>
      <w:tr w:rsidR="00AB3AEE">
        <w:tc>
          <w:tcPr>
            <w:tcW w:w="9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B3AEE" w:rsidRDefault="00AB3AEE">
            <w:pPr>
              <w:pStyle w:val="EcoNormal"/>
              <w:jc w:val="both"/>
            </w:pPr>
            <w:r>
              <w:t>Примечания</w:t>
            </w:r>
          </w:p>
        </w:tc>
      </w:tr>
      <w:tr w:rsidR="00AB3AEE">
        <w:tc>
          <w:tcPr>
            <w:tcW w:w="9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B3AEE" w:rsidRDefault="00AB3AEE">
            <w:pPr>
              <w:pStyle w:val="EcoNormal"/>
              <w:jc w:val="both"/>
            </w:pPr>
            <w:r>
              <w:t>1. НДТ означает наиболее эффективную и передовую стадию в развитии производственной деятельности и методов эксплуатации объектов, которая обеспечивает практическую пригодность определенных технологий для предотвращения или, если это практически невозможно, обеспечения общего сокращения выбросов/сбросов и образования отходов. Учет воздействий на окружающую среду производится на основе предельно допустимых выбросов/сбросов.</w:t>
            </w:r>
          </w:p>
        </w:tc>
      </w:tr>
      <w:tr w:rsidR="00AB3AEE">
        <w:tc>
          <w:tcPr>
            <w:tcW w:w="9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B3AEE" w:rsidRDefault="00AB3AEE">
            <w:pPr>
              <w:pStyle w:val="EcoNormal"/>
              <w:jc w:val="both"/>
            </w:pPr>
            <w:r>
              <w:t>2. При реализации НДТ, имеющей установленный срок практического применения с учетом экономических, технических, экологических и социальных факторов, достигается наименьший уровень негативного воздействия на окружающую среду в расчете на единицу произведенной продукции (работы, услуги).</w:t>
            </w:r>
          </w:p>
        </w:tc>
      </w:tr>
      <w:tr w:rsidR="00AB3AEE">
        <w:tc>
          <w:tcPr>
            <w:tcW w:w="9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B3AEE" w:rsidRDefault="00AB3AEE">
            <w:pPr>
              <w:pStyle w:val="EcoNormal"/>
              <w:jc w:val="both"/>
            </w:pPr>
            <w:r>
              <w:t>3. "Наилучшая" означает технологию, наиболее эффективную для выпуска продукции с достижением установленного уровня защиты окружающей среды.</w:t>
            </w:r>
          </w:p>
        </w:tc>
      </w:tr>
      <w:tr w:rsidR="00AB3AEE">
        <w:tc>
          <w:tcPr>
            <w:tcW w:w="9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B3AEE" w:rsidRDefault="00AB3AEE">
            <w:pPr>
              <w:pStyle w:val="EcoNormal"/>
              <w:jc w:val="both"/>
            </w:pPr>
            <w:r>
              <w:t>4. "Доступная" означает технологию, которая разработана настолько, что она может быть применена в конкретной отрасли промышленности при условии подтверждения экономической, технической, экологической и социальной целесообразности ее внедрения. "Доступная" применительно к НДТ означает учет затрат на внедрение технологии и преимуществ ее внедрения, а также означает, что технология может быть внедрена в экономически и технически реализуемых условиях для конкретной отрасли промышленности.</w:t>
            </w:r>
          </w:p>
        </w:tc>
      </w:tr>
      <w:tr w:rsidR="00AB3AEE">
        <w:tc>
          <w:tcPr>
            <w:tcW w:w="9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B3AEE" w:rsidRDefault="00AB3AEE">
            <w:pPr>
              <w:pStyle w:val="EcoNormal"/>
              <w:jc w:val="both"/>
            </w:pPr>
            <w:r>
              <w:t>5. В отдельных случаях часть термина "доступная" может быть заменена словом "существующая", если это определено законодательством Российской Федерации.</w:t>
            </w:r>
          </w:p>
        </w:tc>
      </w:tr>
      <w:tr w:rsidR="00AB3AEE">
        <w:tc>
          <w:tcPr>
            <w:tcW w:w="9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B3AEE" w:rsidRDefault="00AB3AEE">
            <w:pPr>
              <w:pStyle w:val="EcoNormal"/>
              <w:jc w:val="both"/>
            </w:pPr>
            <w:r>
              <w:t xml:space="preserve">6. "Технология" означает как используемую технологию, так и способ, метод и прием, которым объект спроектирован, построен, эксплуатируется и выводится из эксплуатации перед его </w:t>
            </w:r>
            <w:r>
              <w:lastRenderedPageBreak/>
              <w:t>ликвидацией с утилизацией обезвреженных частей и удалением опасных составляющих.</w:t>
            </w:r>
          </w:p>
        </w:tc>
      </w:tr>
      <w:tr w:rsidR="00AB3AEE">
        <w:tc>
          <w:tcPr>
            <w:tcW w:w="9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B3AEE" w:rsidRDefault="00AB3AEE">
            <w:pPr>
              <w:pStyle w:val="EcoNormal"/>
              <w:jc w:val="both"/>
            </w:pPr>
            <w:r>
              <w:lastRenderedPageBreak/>
              <w:t>7. К НДТ относятся, как правило, малоотходные и безотходные технологии.</w:t>
            </w:r>
          </w:p>
        </w:tc>
      </w:tr>
      <w:tr w:rsidR="00AB3AEE">
        <w:tc>
          <w:tcPr>
            <w:tcW w:w="9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B3AEE" w:rsidRDefault="00AB3AEE">
            <w:pPr>
              <w:pStyle w:val="EcoNormal"/>
              <w:jc w:val="both"/>
            </w:pPr>
            <w:r>
              <w:t>8. Как правило, НДТ вносят в государственный реестр НДТ.</w:t>
            </w:r>
          </w:p>
        </w:tc>
      </w:tr>
      <w:tr w:rsidR="00AB3AEE">
        <w:tc>
          <w:tcPr>
            <w:tcW w:w="9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B3AEE" w:rsidRDefault="00AB3AEE">
            <w:pPr>
              <w:pStyle w:val="EcoNormal"/>
              <w:jc w:val="both"/>
            </w:pPr>
          </w:p>
        </w:tc>
      </w:tr>
      <w:tr w:rsidR="00AB3AEE">
        <w:tc>
          <w:tcPr>
            <w:tcW w:w="9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AEE" w:rsidRDefault="00AB3AEE">
            <w:pPr>
              <w:pStyle w:val="EcoNormal"/>
              <w:jc w:val="both"/>
            </w:pPr>
            <w:r>
              <w:t>[ГОСТ Р 54097-2010, пункт 3.1]</w:t>
            </w:r>
          </w:p>
        </w:tc>
      </w:tr>
    </w:tbl>
    <w:p w:rsidR="00AB3AEE" w:rsidRDefault="00AB3AEE">
      <w:pPr>
        <w:pStyle w:val="EcoNormal"/>
        <w:ind w:firstLine="540"/>
        <w:jc w:val="both"/>
      </w:pPr>
    </w:p>
    <w:tbl>
      <w:tblPr>
        <w:tblW w:w="0" w:type="auto"/>
        <w:tblInd w:w="-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420"/>
      </w:tblGrid>
      <w:tr w:rsidR="00AB3AEE">
        <w:tc>
          <w:tcPr>
            <w:tcW w:w="94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B3AEE" w:rsidRDefault="00AB3AEE">
            <w:pPr>
              <w:pStyle w:val="EcoNormal"/>
              <w:jc w:val="both"/>
            </w:pPr>
            <w:r>
              <w:t>3.2 Топливо: продукция, предназначенная для выработки тепловой энергии в процессе ее сжигания.</w:t>
            </w:r>
          </w:p>
        </w:tc>
      </w:tr>
      <w:tr w:rsidR="00AB3AEE">
        <w:tc>
          <w:tcPr>
            <w:tcW w:w="9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AEE" w:rsidRDefault="00AB3AEE">
            <w:pPr>
              <w:pStyle w:val="EcoNormal"/>
              <w:jc w:val="both"/>
            </w:pPr>
            <w:r>
              <w:t>[ГОСТ Р 51750-2001, пункт 3.1.6]</w:t>
            </w:r>
          </w:p>
        </w:tc>
      </w:tr>
    </w:tbl>
    <w:p w:rsidR="00AB3AEE" w:rsidRDefault="00AB3AEE">
      <w:pPr>
        <w:pStyle w:val="EcoNormal"/>
        <w:ind w:firstLine="540"/>
        <w:jc w:val="both"/>
      </w:pPr>
    </w:p>
    <w:p w:rsidR="00AB3AEE" w:rsidRDefault="00AB3AEE">
      <w:pPr>
        <w:pStyle w:val="EcoNormal"/>
        <w:ind w:firstLine="540"/>
        <w:jc w:val="both"/>
      </w:pPr>
      <w:r>
        <w:t>Примечание. По физическому состоянию различают твердое топливо - торф, биомассу, жидкое топливо - мазут, газообразное топливо - природный газ, а также газ, выделяемый из отходов потребления в процессе их брожения.</w:t>
      </w:r>
    </w:p>
    <w:p w:rsidR="00AB3AEE" w:rsidRDefault="00AB3AEE">
      <w:pPr>
        <w:pStyle w:val="EcoNormal"/>
        <w:jc w:val="both"/>
      </w:pPr>
    </w:p>
    <w:p w:rsidR="00AB3AEE" w:rsidRDefault="00AB3AEE">
      <w:pPr>
        <w:pStyle w:val="EcoNormal"/>
        <w:jc w:val="center"/>
        <w:outlineLvl w:val="1"/>
      </w:pPr>
      <w:r>
        <w:t>4. НАИЛУЧШИЕ ДОСТУПНЫЕ ТЕХНОЛОГИИ НА ЭТАПАХ РАЗГРУЗКИ,</w:t>
      </w:r>
    </w:p>
    <w:p w:rsidR="00AB3AEE" w:rsidRDefault="00AB3AEE">
      <w:pPr>
        <w:pStyle w:val="EcoNormal"/>
        <w:jc w:val="center"/>
      </w:pPr>
      <w:r>
        <w:t>ХРАНЕНИЯ И ТРАНСПОРТИРОВАНИЯ ТВЕРДОГО ТОПЛИВА И ПРИСАДОК</w:t>
      </w:r>
    </w:p>
    <w:p w:rsidR="00AB3AEE" w:rsidRDefault="00AB3AEE">
      <w:pPr>
        <w:pStyle w:val="EcoNormal"/>
        <w:jc w:val="both"/>
      </w:pPr>
    </w:p>
    <w:p w:rsidR="00AB3AEE" w:rsidRDefault="00AB3AEE">
      <w:pPr>
        <w:pStyle w:val="EcoNormal"/>
        <w:ind w:firstLine="540"/>
        <w:jc w:val="both"/>
      </w:pPr>
      <w:r>
        <w:t>Рекомендуемые [1] НДТ предотвращения выбросов/сбросов, образующихся при погрузке, разгрузке, хранении и транспортировании каменного и бурого угля, а также таких присадок, как известь, известняк, аммиак и др., сведены в таблицы 1 и 2.</w:t>
      </w:r>
    </w:p>
    <w:p w:rsidR="00AB3AEE" w:rsidRDefault="00AB3AEE">
      <w:pPr>
        <w:pStyle w:val="EcoNormal"/>
        <w:jc w:val="both"/>
      </w:pPr>
    </w:p>
    <w:p w:rsidR="00AB3AEE" w:rsidRDefault="00AB3AEE">
      <w:pPr>
        <w:pStyle w:val="EcoNormal"/>
        <w:jc w:val="right"/>
      </w:pPr>
      <w:r>
        <w:t>Таблица 1</w:t>
      </w:r>
    </w:p>
    <w:p w:rsidR="00AB3AEE" w:rsidRDefault="00AB3AEE">
      <w:pPr>
        <w:pStyle w:val="EcoNormal"/>
        <w:jc w:val="both"/>
      </w:pPr>
    </w:p>
    <w:p w:rsidR="00AB3AEE" w:rsidRDefault="00AB3AEE">
      <w:pPr>
        <w:pStyle w:val="EcoNormal"/>
        <w:jc w:val="center"/>
      </w:pPr>
      <w:r>
        <w:t>Наилучшие доступные технологии обеспечения охраны</w:t>
      </w:r>
    </w:p>
    <w:p w:rsidR="00AB3AEE" w:rsidRDefault="00AB3AEE">
      <w:pPr>
        <w:pStyle w:val="EcoNormal"/>
        <w:jc w:val="center"/>
      </w:pPr>
      <w:r>
        <w:t>окружающей среды при погрузке, хранении</w:t>
      </w:r>
    </w:p>
    <w:p w:rsidR="00AB3AEE" w:rsidRDefault="00AB3AEE">
      <w:pPr>
        <w:pStyle w:val="EcoNormal"/>
        <w:jc w:val="center"/>
      </w:pPr>
      <w:r>
        <w:t>и транспортировании твердого топлива (каменных</w:t>
      </w:r>
    </w:p>
    <w:p w:rsidR="00AB3AEE" w:rsidRDefault="00AB3AEE">
      <w:pPr>
        <w:pStyle w:val="EcoNormal"/>
        <w:jc w:val="center"/>
      </w:pPr>
      <w:r>
        <w:t>и бурых углей) и присадок к нему</w:t>
      </w:r>
    </w:p>
    <w:p w:rsidR="00AB3AEE" w:rsidRDefault="00AB3AEE">
      <w:pPr>
        <w:pStyle w:val="EcoNormal"/>
        <w:jc w:val="both"/>
      </w:pPr>
    </w:p>
    <w:tbl>
      <w:tblPr>
        <w:tblW w:w="0" w:type="auto"/>
        <w:tblInd w:w="-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659"/>
        <w:gridCol w:w="6979"/>
      </w:tblGrid>
      <w:tr w:rsidR="00AB3AEE"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Мероприятия по охране окружающей среды</w:t>
            </w:r>
          </w:p>
        </w:tc>
        <w:tc>
          <w:tcPr>
            <w:tcW w:w="6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AEE" w:rsidRDefault="00AB3AEE">
            <w:pPr>
              <w:pStyle w:val="EcoNormal"/>
              <w:jc w:val="center"/>
            </w:pPr>
            <w:r>
              <w:t>Рекомендуемые наилучшие доступные технологии</w:t>
            </w:r>
          </w:p>
        </w:tc>
      </w:tr>
      <w:tr w:rsidR="00AB3AEE"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lastRenderedPageBreak/>
              <w:t xml:space="preserve">Предотвращение выбросов </w:t>
            </w:r>
            <w:proofErr w:type="spellStart"/>
            <w:r>
              <w:t>макрочастиц</w:t>
            </w:r>
            <w:proofErr w:type="spellEnd"/>
            <w:r>
              <w:t xml:space="preserve"> (пыли)</w:t>
            </w:r>
          </w:p>
        </w:tc>
        <w:tc>
          <w:tcPr>
            <w:tcW w:w="69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B3AEE" w:rsidRDefault="00AB3AEE">
            <w:pPr>
              <w:pStyle w:val="EcoNormal"/>
              <w:jc w:val="both"/>
            </w:pPr>
            <w:r>
              <w:t>Использование погрузочно-разгрузочного оборудования, которое минимизирует высоту падения топлива в штабель, сокращает образование летучей (тонкой) пыли.</w:t>
            </w:r>
          </w:p>
        </w:tc>
      </w:tr>
      <w:tr w:rsidR="00AB3AEE">
        <w:tblPrEx>
          <w:tblBorders>
            <w:insideH w:val="none" w:sz="0" w:space="0" w:color="auto"/>
          </w:tblBorders>
        </w:tblPrEx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B3AEE" w:rsidRDefault="00AB3AEE"/>
        </w:tc>
        <w:tc>
          <w:tcPr>
            <w:tcW w:w="6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B3AEE" w:rsidRDefault="00AB3AEE">
            <w:pPr>
              <w:pStyle w:val="EcoNormal"/>
              <w:jc w:val="both"/>
            </w:pPr>
            <w:r>
              <w:t>В южных регионах страны, где не происходит замерзания топлива, использование систем водного распыления для уменьшения образования летучей (тонкой) пыли при складировании топлива.</w:t>
            </w:r>
          </w:p>
        </w:tc>
      </w:tr>
      <w:tr w:rsidR="00AB3AEE">
        <w:tblPrEx>
          <w:tblBorders>
            <w:insideH w:val="none" w:sz="0" w:space="0" w:color="auto"/>
          </w:tblBorders>
        </w:tblPrEx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B3AEE" w:rsidRDefault="00AB3AEE"/>
        </w:tc>
        <w:tc>
          <w:tcPr>
            <w:tcW w:w="6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B3AEE" w:rsidRDefault="00AB3AEE">
            <w:pPr>
              <w:pStyle w:val="EcoNormal"/>
              <w:jc w:val="both"/>
            </w:pPr>
            <w:r>
              <w:t>Размещение транспортных конвейеров на безопасных открытых площадках таким образом, чтобы можно было предотвратить повреждения транспортных средств и другого оборудования.</w:t>
            </w:r>
          </w:p>
        </w:tc>
      </w:tr>
      <w:tr w:rsidR="00AB3AEE">
        <w:tblPrEx>
          <w:tblBorders>
            <w:insideH w:val="none" w:sz="0" w:space="0" w:color="auto"/>
          </w:tblBorders>
        </w:tblPrEx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B3AEE" w:rsidRDefault="00AB3AEE"/>
        </w:tc>
        <w:tc>
          <w:tcPr>
            <w:tcW w:w="6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B3AEE" w:rsidRDefault="00AB3AEE">
            <w:pPr>
              <w:pStyle w:val="EcoNormal"/>
              <w:jc w:val="both"/>
            </w:pPr>
            <w:r>
              <w:t>Использование закрытых угольных транспортеров с правильно сконструированным надежным оборудованием для удаления и фильтрации (просеивания) в местах поступления топлива на конвейер для предотвращения выбросов.</w:t>
            </w:r>
          </w:p>
        </w:tc>
      </w:tr>
      <w:tr w:rsidR="00AB3AEE">
        <w:tblPrEx>
          <w:tblBorders>
            <w:insideH w:val="none" w:sz="0" w:space="0" w:color="auto"/>
          </w:tblBorders>
        </w:tblPrEx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B3AEE" w:rsidRDefault="00AB3AEE"/>
        </w:tc>
        <w:tc>
          <w:tcPr>
            <w:tcW w:w="6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B3AEE" w:rsidRDefault="00AB3AEE">
            <w:pPr>
              <w:pStyle w:val="EcoNormal"/>
              <w:jc w:val="both"/>
            </w:pPr>
            <w:r>
              <w:t>Совершенствование транспортных систем в целях минимизации образования и выбросов пыли на производственном участке.</w:t>
            </w:r>
          </w:p>
        </w:tc>
      </w:tr>
      <w:tr w:rsidR="00AB3AEE">
        <w:tblPrEx>
          <w:tblBorders>
            <w:insideH w:val="none" w:sz="0" w:space="0" w:color="auto"/>
          </w:tblBorders>
        </w:tblPrEx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B3AEE" w:rsidRDefault="00AB3AEE"/>
        </w:tc>
        <w:tc>
          <w:tcPr>
            <w:tcW w:w="6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B3AEE" w:rsidRDefault="00AB3AEE">
            <w:pPr>
              <w:pStyle w:val="EcoNormal"/>
              <w:jc w:val="both"/>
            </w:pPr>
            <w:r>
              <w:t>Использование рациональных методов проектирования и строительства и надлежащей эксплуатации.</w:t>
            </w:r>
          </w:p>
        </w:tc>
      </w:tr>
      <w:tr w:rsidR="00AB3AEE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B3AEE" w:rsidRDefault="00AB3AEE"/>
        </w:tc>
        <w:tc>
          <w:tcPr>
            <w:tcW w:w="6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AEE" w:rsidRDefault="00AB3AEE">
            <w:pPr>
              <w:pStyle w:val="EcoNormal"/>
              <w:jc w:val="both"/>
            </w:pPr>
            <w:r>
              <w:t>Хранение извести или известняка в бункерах с хорошо сконструированным надежным оборудованием для удаления и фильтрации (просеивания)</w:t>
            </w:r>
          </w:p>
        </w:tc>
      </w:tr>
      <w:tr w:rsidR="00AB3AEE"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Предотвращение загрязнения водных объектов</w:t>
            </w:r>
          </w:p>
        </w:tc>
        <w:tc>
          <w:tcPr>
            <w:tcW w:w="69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B3AEE" w:rsidRDefault="00AB3AEE">
            <w:pPr>
              <w:pStyle w:val="EcoNormal"/>
              <w:jc w:val="both"/>
            </w:pPr>
            <w:r>
              <w:t>Складирование на уплотняемых поверхностях с дренажом, сбором дренажных вод и их обработкой для осаждения.</w:t>
            </w:r>
          </w:p>
        </w:tc>
      </w:tr>
      <w:tr w:rsidR="00AB3AEE">
        <w:tblPrEx>
          <w:tblBorders>
            <w:insideH w:val="none" w:sz="0" w:space="0" w:color="auto"/>
          </w:tblBorders>
        </w:tblPrEx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B3AEE" w:rsidRDefault="00AB3AEE"/>
        </w:tc>
        <w:tc>
          <w:tcPr>
            <w:tcW w:w="6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B3AEE" w:rsidRDefault="00AB3AEE">
            <w:pPr>
              <w:pStyle w:val="EcoNormal"/>
              <w:jc w:val="both"/>
            </w:pPr>
            <w:r>
              <w:t>Содержимое топливного резервуара должно быть отражено на дисплее идентификации аварии; должна быть предусмотрена система автоматического контроля в целях предотвращения переполнения резервуаров для хранения твердого топлива.</w:t>
            </w:r>
          </w:p>
        </w:tc>
      </w:tr>
      <w:tr w:rsidR="00AB3AEE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B3AEE" w:rsidRDefault="00AB3AEE"/>
        </w:tc>
        <w:tc>
          <w:tcPr>
            <w:tcW w:w="6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AEE" w:rsidRDefault="00AB3AEE">
            <w:pPr>
              <w:pStyle w:val="EcoNormal"/>
              <w:jc w:val="both"/>
            </w:pPr>
            <w:r>
              <w:t>Сбор ливневых вод на площадях, где расположены склады топлива и где дождевые воды смываются вместе с топливом, обработка этих ливневых вод (непосредственно на производственной площадке или на заводе по обработке сточных вод) перед их сбросом на рельеф местности</w:t>
            </w:r>
          </w:p>
        </w:tc>
      </w:tr>
      <w:tr w:rsidR="00AB3AEE"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Предотвращение возгорания</w:t>
            </w:r>
          </w:p>
        </w:tc>
        <w:tc>
          <w:tcPr>
            <w:tcW w:w="6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AEE" w:rsidRDefault="00AB3AEE">
            <w:pPr>
              <w:pStyle w:val="EcoNormal"/>
              <w:jc w:val="both"/>
            </w:pPr>
            <w:r>
              <w:t>Автоматизированное наблюдение за площадками, где осуществляется хранение твердого топлива, в целях обнаружения огня, вызванного самовоспламенением топлива, и идентификации риска</w:t>
            </w:r>
          </w:p>
        </w:tc>
      </w:tr>
      <w:tr w:rsidR="00AB3AEE"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Предотвращение рисков, связанных с аммиаком, для здоровья и безопасности людей</w:t>
            </w:r>
          </w:p>
        </w:tc>
        <w:tc>
          <w:tcPr>
            <w:tcW w:w="69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B3AEE" w:rsidRDefault="00AB3AEE">
            <w:pPr>
              <w:pStyle w:val="EcoNormal"/>
              <w:jc w:val="both"/>
            </w:pPr>
            <w:r>
              <w:t>Для обработки и хранения беспримесного жидкого аммиака:</w:t>
            </w:r>
          </w:p>
        </w:tc>
      </w:tr>
      <w:tr w:rsidR="00AB3AEE">
        <w:tblPrEx>
          <w:tblBorders>
            <w:insideH w:val="none" w:sz="0" w:space="0" w:color="auto"/>
          </w:tblBorders>
        </w:tblPrEx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B3AEE" w:rsidRDefault="00AB3AEE"/>
        </w:tc>
        <w:tc>
          <w:tcPr>
            <w:tcW w:w="6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B3AEE" w:rsidRDefault="00AB3AEE">
            <w:pPr>
              <w:pStyle w:val="EcoNormal"/>
              <w:jc w:val="both"/>
            </w:pPr>
            <w:r>
              <w:t>- напорные резервуары для беспримесного жидкого аммиака вместимостью более 100 м3 должны быть сконструированы с двойными стенками и расположены под землей;</w:t>
            </w:r>
          </w:p>
        </w:tc>
      </w:tr>
      <w:tr w:rsidR="00AB3AEE">
        <w:tblPrEx>
          <w:tblBorders>
            <w:insideH w:val="none" w:sz="0" w:space="0" w:color="auto"/>
          </w:tblBorders>
        </w:tblPrEx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B3AEE" w:rsidRDefault="00AB3AEE"/>
        </w:tc>
        <w:tc>
          <w:tcPr>
            <w:tcW w:w="6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B3AEE" w:rsidRDefault="00AB3AEE">
            <w:pPr>
              <w:pStyle w:val="EcoNormal"/>
              <w:jc w:val="both"/>
            </w:pPr>
            <w:r>
              <w:t>- резервуары вместимостью 100 м3 и менее должны быть изготовлены с применением процессов отжига.</w:t>
            </w:r>
          </w:p>
        </w:tc>
      </w:tr>
      <w:tr w:rsidR="00AB3AEE">
        <w:tblPrEx>
          <w:tblBorders>
            <w:insideH w:val="none" w:sz="0" w:space="0" w:color="auto"/>
          </w:tblBorders>
        </w:tblPrEx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B3AEE" w:rsidRDefault="00AB3AEE"/>
        </w:tc>
        <w:tc>
          <w:tcPr>
            <w:tcW w:w="6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AEE" w:rsidRDefault="00AB3AEE">
            <w:pPr>
              <w:pStyle w:val="EcoNormal"/>
              <w:jc w:val="both"/>
            </w:pPr>
            <w:r>
              <w:t>С точки зрения безопасности использование водно-аммиачных растворов менее опасно, чем хранение и обработка беспримесного жидкого аммиака</w:t>
            </w:r>
          </w:p>
        </w:tc>
      </w:tr>
    </w:tbl>
    <w:p w:rsidR="00AB3AEE" w:rsidRDefault="00AB3AEE">
      <w:pPr>
        <w:pStyle w:val="EcoNormal"/>
        <w:jc w:val="both"/>
      </w:pPr>
    </w:p>
    <w:p w:rsidR="00AB3AEE" w:rsidRDefault="00AB3AEE">
      <w:pPr>
        <w:pStyle w:val="EcoNormal"/>
        <w:jc w:val="right"/>
      </w:pPr>
      <w:r>
        <w:t>Таблица 2</w:t>
      </w:r>
    </w:p>
    <w:p w:rsidR="00AB3AEE" w:rsidRDefault="00AB3AEE">
      <w:pPr>
        <w:pStyle w:val="EcoNormal"/>
        <w:jc w:val="both"/>
      </w:pPr>
    </w:p>
    <w:p w:rsidR="00AB3AEE" w:rsidRDefault="00AB3AEE">
      <w:pPr>
        <w:pStyle w:val="EcoNormal"/>
        <w:jc w:val="center"/>
      </w:pPr>
      <w:bookmarkStart w:id="2" w:name="P134"/>
      <w:bookmarkEnd w:id="2"/>
      <w:r>
        <w:t>Наилучшие доступные технологии, применяемые при погрузке,</w:t>
      </w:r>
    </w:p>
    <w:p w:rsidR="00AB3AEE" w:rsidRDefault="00AB3AEE">
      <w:pPr>
        <w:pStyle w:val="EcoNormal"/>
        <w:jc w:val="center"/>
      </w:pPr>
      <w:r>
        <w:t>разгрузке, хранении и транспортировании каменного</w:t>
      </w:r>
    </w:p>
    <w:p w:rsidR="00AB3AEE" w:rsidRDefault="00AB3AEE">
      <w:pPr>
        <w:pStyle w:val="EcoNormal"/>
        <w:jc w:val="center"/>
      </w:pPr>
      <w:r>
        <w:t>и бурого угля</w:t>
      </w:r>
    </w:p>
    <w:p w:rsidR="00AB3AEE" w:rsidRDefault="00AB3AEE">
      <w:pPr>
        <w:pStyle w:val="EcoNormal"/>
        <w:jc w:val="both"/>
      </w:pPr>
    </w:p>
    <w:tbl>
      <w:tblPr>
        <w:tblW w:w="0" w:type="auto"/>
        <w:tblInd w:w="-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940"/>
        <w:gridCol w:w="1800"/>
        <w:gridCol w:w="1200"/>
        <w:gridCol w:w="1200"/>
        <w:gridCol w:w="1080"/>
        <w:gridCol w:w="1920"/>
        <w:gridCol w:w="1560"/>
        <w:gridCol w:w="1920"/>
      </w:tblGrid>
      <w:tr w:rsidR="00AB3AEE">
        <w:tc>
          <w:tcPr>
            <w:tcW w:w="2940" w:type="dxa"/>
            <w:vMerge w:val="restart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Технология</w:t>
            </w:r>
          </w:p>
        </w:tc>
        <w:tc>
          <w:tcPr>
            <w:tcW w:w="1800" w:type="dxa"/>
            <w:vMerge w:val="restart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Экологический эффект</w:t>
            </w:r>
          </w:p>
        </w:tc>
        <w:tc>
          <w:tcPr>
            <w:tcW w:w="2400" w:type="dxa"/>
            <w:gridSpan w:val="2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Предприятие</w:t>
            </w:r>
          </w:p>
        </w:tc>
        <w:tc>
          <w:tcPr>
            <w:tcW w:w="1080" w:type="dxa"/>
            <w:vMerge w:val="restart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Эксплуатационный опыт</w:t>
            </w:r>
          </w:p>
        </w:tc>
        <w:tc>
          <w:tcPr>
            <w:tcW w:w="1920" w:type="dxa"/>
            <w:vMerge w:val="restart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Эффект для других сред</w:t>
            </w:r>
          </w:p>
        </w:tc>
        <w:tc>
          <w:tcPr>
            <w:tcW w:w="1560" w:type="dxa"/>
            <w:vMerge w:val="restart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Экономический эффект</w:t>
            </w:r>
          </w:p>
        </w:tc>
        <w:tc>
          <w:tcPr>
            <w:tcW w:w="192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B3AEE" w:rsidRDefault="00AB3AEE">
            <w:pPr>
              <w:pStyle w:val="EcoNormal"/>
              <w:jc w:val="center"/>
            </w:pPr>
            <w:r>
              <w:t>Примечание</w:t>
            </w:r>
          </w:p>
        </w:tc>
      </w:tr>
      <w:tr w:rsidR="00AB3AEE">
        <w:tc>
          <w:tcPr>
            <w:tcW w:w="2940" w:type="dxa"/>
            <w:vMerge/>
            <w:tcBorders>
              <w:left w:val="single" w:sz="4" w:space="0" w:color="auto"/>
              <w:right w:val="nil"/>
            </w:tcBorders>
          </w:tcPr>
          <w:p w:rsidR="00AB3AEE" w:rsidRDefault="00AB3AEE"/>
        </w:tc>
        <w:tc>
          <w:tcPr>
            <w:tcW w:w="1800" w:type="dxa"/>
            <w:vMerge/>
            <w:tcBorders>
              <w:left w:val="single" w:sz="4" w:space="0" w:color="auto"/>
              <w:right w:val="nil"/>
            </w:tcBorders>
          </w:tcPr>
          <w:p w:rsidR="00AB3AEE" w:rsidRDefault="00AB3AEE"/>
        </w:tc>
        <w:tc>
          <w:tcPr>
            <w:tcW w:w="12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Проектируемое</w:t>
            </w:r>
          </w:p>
        </w:tc>
        <w:tc>
          <w:tcPr>
            <w:tcW w:w="12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Пригодное к модернизации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nil"/>
            </w:tcBorders>
          </w:tcPr>
          <w:p w:rsidR="00AB3AEE" w:rsidRDefault="00AB3AEE"/>
        </w:tc>
        <w:tc>
          <w:tcPr>
            <w:tcW w:w="1920" w:type="dxa"/>
            <w:vMerge/>
            <w:tcBorders>
              <w:left w:val="single" w:sz="4" w:space="0" w:color="auto"/>
              <w:right w:val="nil"/>
            </w:tcBorders>
          </w:tcPr>
          <w:p w:rsidR="00AB3AEE" w:rsidRDefault="00AB3AEE"/>
        </w:tc>
        <w:tc>
          <w:tcPr>
            <w:tcW w:w="1560" w:type="dxa"/>
            <w:vMerge/>
            <w:tcBorders>
              <w:left w:val="single" w:sz="4" w:space="0" w:color="auto"/>
              <w:right w:val="nil"/>
            </w:tcBorders>
          </w:tcPr>
          <w:p w:rsidR="00AB3AEE" w:rsidRDefault="00AB3AEE"/>
        </w:tc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B3AEE" w:rsidRDefault="00AB3AEE"/>
        </w:tc>
      </w:tr>
      <w:tr w:rsidR="00AB3AEE">
        <w:tc>
          <w:tcPr>
            <w:tcW w:w="13620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AB3AEE" w:rsidRDefault="00AB3AEE">
            <w:pPr>
              <w:pStyle w:val="EcoNormal"/>
              <w:jc w:val="center"/>
            </w:pPr>
            <w:r>
              <w:lastRenderedPageBreak/>
              <w:t>Погрузка, разгрузка и транспортирование каменного и бурого угля</w:t>
            </w:r>
          </w:p>
        </w:tc>
      </w:tr>
      <w:tr w:rsidR="00AB3AEE">
        <w:tc>
          <w:tcPr>
            <w:tcW w:w="294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 xml:space="preserve">Закрытый угольный транспортер, оснащенный оборудованием для </w:t>
            </w:r>
            <w:proofErr w:type="spellStart"/>
            <w:r>
              <w:t>обеспыливания</w:t>
            </w:r>
            <w:proofErr w:type="spellEnd"/>
          </w:p>
        </w:tc>
        <w:tc>
          <w:tcPr>
            <w:tcW w:w="18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Сокращение выбросов пыли</w:t>
            </w:r>
          </w:p>
        </w:tc>
        <w:tc>
          <w:tcPr>
            <w:tcW w:w="12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Осуществимо</w:t>
            </w:r>
          </w:p>
        </w:tc>
        <w:tc>
          <w:tcPr>
            <w:tcW w:w="12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Осуществимо</w:t>
            </w:r>
          </w:p>
        </w:tc>
        <w:tc>
          <w:tcPr>
            <w:tcW w:w="108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Высокий</w:t>
            </w:r>
          </w:p>
        </w:tc>
        <w:tc>
          <w:tcPr>
            <w:tcW w:w="192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6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Нет данных</w:t>
            </w:r>
          </w:p>
        </w:tc>
        <w:tc>
          <w:tcPr>
            <w:tcW w:w="1920" w:type="dxa"/>
            <w:tcBorders>
              <w:left w:val="single" w:sz="4" w:space="0" w:color="auto"/>
              <w:right w:val="single" w:sz="4" w:space="0" w:color="auto"/>
            </w:tcBorders>
          </w:tcPr>
          <w:p w:rsidR="00AB3AEE" w:rsidRDefault="00AB3AEE">
            <w:pPr>
              <w:pStyle w:val="EcoNormal"/>
            </w:pPr>
            <w:r>
              <w:t>Ограничивается влагосодержанием</w:t>
            </w:r>
          </w:p>
        </w:tc>
      </w:tr>
      <w:tr w:rsidR="00AB3AEE">
        <w:tc>
          <w:tcPr>
            <w:tcW w:w="294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Открытый конвейер с противоветровой защитой</w:t>
            </w:r>
          </w:p>
        </w:tc>
        <w:tc>
          <w:tcPr>
            <w:tcW w:w="18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Сокращение выбросов пыли</w:t>
            </w:r>
          </w:p>
        </w:tc>
        <w:tc>
          <w:tcPr>
            <w:tcW w:w="12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Осуществимо</w:t>
            </w:r>
          </w:p>
        </w:tc>
        <w:tc>
          <w:tcPr>
            <w:tcW w:w="12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Осуществимо</w:t>
            </w:r>
          </w:p>
        </w:tc>
        <w:tc>
          <w:tcPr>
            <w:tcW w:w="108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Высокий</w:t>
            </w:r>
          </w:p>
        </w:tc>
        <w:tc>
          <w:tcPr>
            <w:tcW w:w="192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6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Нет данных</w:t>
            </w:r>
          </w:p>
        </w:tc>
        <w:tc>
          <w:tcPr>
            <w:tcW w:w="1920" w:type="dxa"/>
            <w:tcBorders>
              <w:left w:val="single" w:sz="4" w:space="0" w:color="auto"/>
              <w:right w:val="single" w:sz="4" w:space="0" w:color="auto"/>
            </w:tcBorders>
          </w:tcPr>
          <w:p w:rsidR="00AB3AEE" w:rsidRDefault="00AB3AEE">
            <w:pPr>
              <w:pStyle w:val="EcoNormal"/>
            </w:pPr>
          </w:p>
        </w:tc>
      </w:tr>
      <w:tr w:rsidR="00AB3AEE">
        <w:tc>
          <w:tcPr>
            <w:tcW w:w="294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Разгрузочное оборудование, приспосабливаемое по весу</w:t>
            </w:r>
          </w:p>
        </w:tc>
        <w:tc>
          <w:tcPr>
            <w:tcW w:w="18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Сокращение выбросов пыли</w:t>
            </w:r>
          </w:p>
        </w:tc>
        <w:tc>
          <w:tcPr>
            <w:tcW w:w="12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Осуществимо</w:t>
            </w:r>
          </w:p>
        </w:tc>
        <w:tc>
          <w:tcPr>
            <w:tcW w:w="12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Осуществимо</w:t>
            </w:r>
          </w:p>
        </w:tc>
        <w:tc>
          <w:tcPr>
            <w:tcW w:w="108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Высокий</w:t>
            </w:r>
          </w:p>
        </w:tc>
        <w:tc>
          <w:tcPr>
            <w:tcW w:w="192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6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Нет данных</w:t>
            </w:r>
          </w:p>
        </w:tc>
        <w:tc>
          <w:tcPr>
            <w:tcW w:w="1920" w:type="dxa"/>
            <w:tcBorders>
              <w:left w:val="single" w:sz="4" w:space="0" w:color="auto"/>
              <w:right w:val="single" w:sz="4" w:space="0" w:color="auto"/>
            </w:tcBorders>
          </w:tcPr>
          <w:p w:rsidR="00AB3AEE" w:rsidRDefault="00AB3AEE">
            <w:pPr>
              <w:pStyle w:val="EcoNormal"/>
            </w:pPr>
          </w:p>
        </w:tc>
      </w:tr>
      <w:tr w:rsidR="00AB3AEE">
        <w:tc>
          <w:tcPr>
            <w:tcW w:w="294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Устройства для очистки конвейерной ленты</w:t>
            </w:r>
          </w:p>
        </w:tc>
        <w:tc>
          <w:tcPr>
            <w:tcW w:w="18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Сокращение выбросов пыли</w:t>
            </w:r>
          </w:p>
        </w:tc>
        <w:tc>
          <w:tcPr>
            <w:tcW w:w="12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Осуществимо</w:t>
            </w:r>
          </w:p>
        </w:tc>
        <w:tc>
          <w:tcPr>
            <w:tcW w:w="12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Осуществимо</w:t>
            </w:r>
          </w:p>
        </w:tc>
        <w:tc>
          <w:tcPr>
            <w:tcW w:w="108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Высокий</w:t>
            </w:r>
          </w:p>
        </w:tc>
        <w:tc>
          <w:tcPr>
            <w:tcW w:w="192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6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Нет данных</w:t>
            </w:r>
          </w:p>
        </w:tc>
        <w:tc>
          <w:tcPr>
            <w:tcW w:w="1920" w:type="dxa"/>
            <w:tcBorders>
              <w:left w:val="single" w:sz="4" w:space="0" w:color="auto"/>
              <w:right w:val="single" w:sz="4" w:space="0" w:color="auto"/>
            </w:tcBorders>
          </w:tcPr>
          <w:p w:rsidR="00AB3AEE" w:rsidRDefault="00AB3AEE">
            <w:pPr>
              <w:pStyle w:val="EcoNormal"/>
            </w:pPr>
            <w:r>
              <w:t>Ограничивается влагосодержанием</w:t>
            </w:r>
          </w:p>
        </w:tc>
      </w:tr>
      <w:tr w:rsidR="00AB3AEE">
        <w:tc>
          <w:tcPr>
            <w:tcW w:w="294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Закрытое хранение извести или известняка в силосах с устранением пыли</w:t>
            </w:r>
          </w:p>
        </w:tc>
        <w:tc>
          <w:tcPr>
            <w:tcW w:w="18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Сокращение выбросов тонкодисперсных частиц</w:t>
            </w:r>
          </w:p>
        </w:tc>
        <w:tc>
          <w:tcPr>
            <w:tcW w:w="12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Осуществимо</w:t>
            </w:r>
          </w:p>
        </w:tc>
        <w:tc>
          <w:tcPr>
            <w:tcW w:w="12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Осуществимо</w:t>
            </w:r>
          </w:p>
        </w:tc>
        <w:tc>
          <w:tcPr>
            <w:tcW w:w="108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Высокий</w:t>
            </w:r>
          </w:p>
        </w:tc>
        <w:tc>
          <w:tcPr>
            <w:tcW w:w="192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6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Нет данных</w:t>
            </w:r>
          </w:p>
        </w:tc>
        <w:tc>
          <w:tcPr>
            <w:tcW w:w="1920" w:type="dxa"/>
            <w:tcBorders>
              <w:left w:val="single" w:sz="4" w:space="0" w:color="auto"/>
              <w:right w:val="single" w:sz="4" w:space="0" w:color="auto"/>
            </w:tcBorders>
          </w:tcPr>
          <w:p w:rsidR="00AB3AEE" w:rsidRDefault="00AB3AEE">
            <w:pPr>
              <w:pStyle w:val="EcoNormal"/>
            </w:pPr>
          </w:p>
        </w:tc>
      </w:tr>
      <w:tr w:rsidR="00AB3AEE">
        <w:tc>
          <w:tcPr>
            <w:tcW w:w="13620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AB3AEE" w:rsidRDefault="00AB3AEE">
            <w:pPr>
              <w:pStyle w:val="EcoNormal"/>
              <w:jc w:val="center"/>
            </w:pPr>
            <w:r>
              <w:t>Хранение каменного и бурого угля и присадок</w:t>
            </w:r>
          </w:p>
        </w:tc>
      </w:tr>
      <w:tr w:rsidR="00AB3AEE">
        <w:tc>
          <w:tcPr>
            <w:tcW w:w="294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proofErr w:type="spellStart"/>
            <w:r>
              <w:t>Водораспылительная</w:t>
            </w:r>
            <w:proofErr w:type="spellEnd"/>
            <w:r>
              <w:t xml:space="preserve"> система</w:t>
            </w:r>
          </w:p>
        </w:tc>
        <w:tc>
          <w:tcPr>
            <w:tcW w:w="18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Сокращение выбросов пыли</w:t>
            </w:r>
          </w:p>
        </w:tc>
        <w:tc>
          <w:tcPr>
            <w:tcW w:w="12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Осуществимо</w:t>
            </w:r>
          </w:p>
        </w:tc>
        <w:tc>
          <w:tcPr>
            <w:tcW w:w="12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Осуществимо</w:t>
            </w:r>
          </w:p>
        </w:tc>
        <w:tc>
          <w:tcPr>
            <w:tcW w:w="108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Высокий</w:t>
            </w:r>
          </w:p>
        </w:tc>
        <w:tc>
          <w:tcPr>
            <w:tcW w:w="192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Загрязнение вод</w:t>
            </w:r>
          </w:p>
        </w:tc>
        <w:tc>
          <w:tcPr>
            <w:tcW w:w="156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Затраты на распыление воды и сбор дренажных вод</w:t>
            </w:r>
          </w:p>
        </w:tc>
        <w:tc>
          <w:tcPr>
            <w:tcW w:w="1920" w:type="dxa"/>
            <w:tcBorders>
              <w:left w:val="single" w:sz="4" w:space="0" w:color="auto"/>
              <w:right w:val="single" w:sz="4" w:space="0" w:color="auto"/>
            </w:tcBorders>
          </w:tcPr>
          <w:p w:rsidR="00AB3AEE" w:rsidRDefault="00AB3AEE">
            <w:pPr>
              <w:pStyle w:val="EcoNormal"/>
            </w:pPr>
          </w:p>
        </w:tc>
      </w:tr>
      <w:tr w:rsidR="00AB3AEE">
        <w:tc>
          <w:tcPr>
            <w:tcW w:w="294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Уплотненная поверхность с дренажной системой</w:t>
            </w:r>
          </w:p>
        </w:tc>
        <w:tc>
          <w:tcPr>
            <w:tcW w:w="18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Предотвращение загрязнения почв и грунтовых вод</w:t>
            </w:r>
          </w:p>
        </w:tc>
        <w:tc>
          <w:tcPr>
            <w:tcW w:w="12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Осуществимо</w:t>
            </w:r>
          </w:p>
        </w:tc>
        <w:tc>
          <w:tcPr>
            <w:tcW w:w="12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Осуществимо</w:t>
            </w:r>
          </w:p>
        </w:tc>
        <w:tc>
          <w:tcPr>
            <w:tcW w:w="108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Высокий</w:t>
            </w:r>
          </w:p>
        </w:tc>
        <w:tc>
          <w:tcPr>
            <w:tcW w:w="192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6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Затраты на обработку сточных вод</w:t>
            </w:r>
          </w:p>
        </w:tc>
        <w:tc>
          <w:tcPr>
            <w:tcW w:w="1920" w:type="dxa"/>
            <w:tcBorders>
              <w:left w:val="single" w:sz="4" w:space="0" w:color="auto"/>
              <w:right w:val="single" w:sz="4" w:space="0" w:color="auto"/>
            </w:tcBorders>
          </w:tcPr>
          <w:p w:rsidR="00AB3AEE" w:rsidRDefault="00AB3AEE">
            <w:pPr>
              <w:pStyle w:val="EcoNormal"/>
            </w:pPr>
            <w:r>
              <w:t>Собранные дренажные воды нуждаются в обработке в отстойниках</w:t>
            </w:r>
          </w:p>
        </w:tc>
      </w:tr>
      <w:tr w:rsidR="00AB3AEE">
        <w:tc>
          <w:tcPr>
            <w:tcW w:w="294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lastRenderedPageBreak/>
              <w:t>Противоветровая защита</w:t>
            </w:r>
          </w:p>
        </w:tc>
        <w:tc>
          <w:tcPr>
            <w:tcW w:w="18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Сокращение выбросов пыли</w:t>
            </w:r>
          </w:p>
        </w:tc>
        <w:tc>
          <w:tcPr>
            <w:tcW w:w="12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Осуществимо</w:t>
            </w:r>
          </w:p>
        </w:tc>
        <w:tc>
          <w:tcPr>
            <w:tcW w:w="12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Осуществимо</w:t>
            </w:r>
          </w:p>
        </w:tc>
        <w:tc>
          <w:tcPr>
            <w:tcW w:w="108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Высокий</w:t>
            </w:r>
          </w:p>
        </w:tc>
        <w:tc>
          <w:tcPr>
            <w:tcW w:w="192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6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Нет данных</w:t>
            </w:r>
          </w:p>
        </w:tc>
        <w:tc>
          <w:tcPr>
            <w:tcW w:w="1920" w:type="dxa"/>
            <w:tcBorders>
              <w:left w:val="single" w:sz="4" w:space="0" w:color="auto"/>
              <w:right w:val="single" w:sz="4" w:space="0" w:color="auto"/>
            </w:tcBorders>
          </w:tcPr>
          <w:p w:rsidR="00AB3AEE" w:rsidRDefault="00AB3AEE">
            <w:pPr>
              <w:pStyle w:val="EcoNormal"/>
            </w:pPr>
          </w:p>
        </w:tc>
      </w:tr>
      <w:tr w:rsidR="00AB3AEE">
        <w:tc>
          <w:tcPr>
            <w:tcW w:w="294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Хранение беспримесного жидкого аммиака</w:t>
            </w:r>
          </w:p>
        </w:tc>
        <w:tc>
          <w:tcPr>
            <w:tcW w:w="18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</w:p>
        </w:tc>
        <w:tc>
          <w:tcPr>
            <w:tcW w:w="12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Осуществимо</w:t>
            </w:r>
          </w:p>
        </w:tc>
        <w:tc>
          <w:tcPr>
            <w:tcW w:w="12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Осуществимо</w:t>
            </w:r>
          </w:p>
        </w:tc>
        <w:tc>
          <w:tcPr>
            <w:tcW w:w="108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Высокий</w:t>
            </w:r>
          </w:p>
        </w:tc>
        <w:tc>
          <w:tcPr>
            <w:tcW w:w="192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Высокий риск в области безопасности</w:t>
            </w:r>
          </w:p>
        </w:tc>
        <w:tc>
          <w:tcPr>
            <w:tcW w:w="156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Высокие капитальные и эксплуатационные затраты</w:t>
            </w:r>
          </w:p>
        </w:tc>
        <w:tc>
          <w:tcPr>
            <w:tcW w:w="1920" w:type="dxa"/>
            <w:tcBorders>
              <w:left w:val="single" w:sz="4" w:space="0" w:color="auto"/>
              <w:right w:val="single" w:sz="4" w:space="0" w:color="auto"/>
            </w:tcBorders>
          </w:tcPr>
          <w:p w:rsidR="00AB3AEE" w:rsidRDefault="00AB3AEE">
            <w:pPr>
              <w:pStyle w:val="EcoNormal"/>
            </w:pPr>
          </w:p>
        </w:tc>
      </w:tr>
      <w:tr w:rsidR="00AB3AEE">
        <w:tc>
          <w:tcPr>
            <w:tcW w:w="294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Хранение аммиака в виде водно-аммиачного раствора</w:t>
            </w:r>
          </w:p>
        </w:tc>
        <w:tc>
          <w:tcPr>
            <w:tcW w:w="18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</w:p>
        </w:tc>
        <w:tc>
          <w:tcPr>
            <w:tcW w:w="12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Осуществимо</w:t>
            </w:r>
          </w:p>
        </w:tc>
        <w:tc>
          <w:tcPr>
            <w:tcW w:w="12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Осуществимо</w:t>
            </w:r>
          </w:p>
        </w:tc>
        <w:tc>
          <w:tcPr>
            <w:tcW w:w="108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Высокий</w:t>
            </w:r>
          </w:p>
        </w:tc>
        <w:tc>
          <w:tcPr>
            <w:tcW w:w="192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Меньший риск, чем в случае хранения жидкого аммиака под давлением</w:t>
            </w:r>
          </w:p>
        </w:tc>
        <w:tc>
          <w:tcPr>
            <w:tcW w:w="156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Нет данных</w:t>
            </w:r>
          </w:p>
        </w:tc>
        <w:tc>
          <w:tcPr>
            <w:tcW w:w="1920" w:type="dxa"/>
            <w:tcBorders>
              <w:left w:val="single" w:sz="4" w:space="0" w:color="auto"/>
              <w:right w:val="single" w:sz="4" w:space="0" w:color="auto"/>
            </w:tcBorders>
          </w:tcPr>
          <w:p w:rsidR="00AB3AEE" w:rsidRDefault="00AB3AEE">
            <w:pPr>
              <w:pStyle w:val="EcoNormal"/>
            </w:pPr>
            <w:r>
              <w:t>Повышение уровня безопасности</w:t>
            </w:r>
          </w:p>
        </w:tc>
      </w:tr>
    </w:tbl>
    <w:p w:rsidR="00AB3AEE" w:rsidRDefault="00AB3AEE">
      <w:pPr>
        <w:pStyle w:val="EcoNormal"/>
        <w:jc w:val="both"/>
      </w:pPr>
    </w:p>
    <w:p w:rsidR="00AB3AEE" w:rsidRDefault="00AB3AEE">
      <w:pPr>
        <w:pStyle w:val="EcoNormal"/>
        <w:jc w:val="center"/>
        <w:outlineLvl w:val="1"/>
      </w:pPr>
      <w:r>
        <w:t>5. ЗАГРЯЗНЕНИЕ И ОЧИСТКА СТОЧНЫХ ВОД ПРИ ХРАНЕНИИ</w:t>
      </w:r>
    </w:p>
    <w:p w:rsidR="00AB3AEE" w:rsidRDefault="00AB3AEE">
      <w:pPr>
        <w:pStyle w:val="EcoNormal"/>
        <w:jc w:val="center"/>
      </w:pPr>
      <w:r>
        <w:t>ТВЕРДОГО ТОПЛИВА</w:t>
      </w:r>
    </w:p>
    <w:p w:rsidR="00AB3AEE" w:rsidRDefault="00AB3AEE">
      <w:pPr>
        <w:pStyle w:val="EcoNormal"/>
        <w:jc w:val="both"/>
      </w:pPr>
    </w:p>
    <w:p w:rsidR="00AB3AEE" w:rsidRDefault="00AB3AEE">
      <w:pPr>
        <w:pStyle w:val="EcoNormal"/>
        <w:ind w:firstLine="540"/>
        <w:jc w:val="both"/>
      </w:pPr>
      <w:r>
        <w:t>Крупные предприятия, на которых хранят различные виды твердого топлива, не только выбрасывают в атмосферу загрязняющие вещества в виде пыли, но и являются существенным источником сбросов (охлажденных и сточных вод) в реки, озера и морскую среду.</w:t>
      </w:r>
    </w:p>
    <w:p w:rsidR="00AB3AEE" w:rsidRDefault="00AB3AEE">
      <w:pPr>
        <w:pStyle w:val="EcoNormal"/>
        <w:ind w:firstLine="540"/>
        <w:jc w:val="both"/>
      </w:pPr>
      <w:r>
        <w:t>Любые ливневые (дождевые) воды, соприкасающиеся со складами для хранения каменного и бурого угля, содержат частицы топлива, поэтому воды должны быть собраны и надлежащим образом обработаны перед их сбросом на рельеф местности или в канализацию. Недопустимо сбрасывать бессистемно небольшие количества промывочных вод, загрязненных нефтепродуктами. Использование сепараторов-отстойников для нефтепродуктов рассматривают в качестве НДТ предотвращения нанесения вреда окружающей среде.</w:t>
      </w:r>
    </w:p>
    <w:p w:rsidR="00AB3AEE" w:rsidRDefault="00AB3AEE">
      <w:pPr>
        <w:pStyle w:val="EcoNormal"/>
        <w:ind w:firstLine="540"/>
        <w:jc w:val="both"/>
      </w:pPr>
      <w:r>
        <w:t xml:space="preserve">Рекомендации по применению НДТ </w:t>
      </w:r>
      <w:proofErr w:type="spellStart"/>
      <w:r>
        <w:t>десульфуризации</w:t>
      </w:r>
      <w:proofErr w:type="spellEnd"/>
      <w:r>
        <w:t xml:space="preserve"> с помощью мокрых скрубберов (таблица 3) относятся к сфере использования оборудования предприятий по очистке сточных вод, включая ливневые осадки. На предприятии по очистке сточных вод используют различные технологии химической обработки в целях удаления тяжелых металлов и сокращения количества твердых остатков перед сбрасыванием очищенных вод в водоемы. На предприятии по очистке сточных вод осуществляют регулирование уровня </w:t>
      </w:r>
      <w:proofErr w:type="spellStart"/>
      <w:r>
        <w:t>pH</w:t>
      </w:r>
      <w:proofErr w:type="spellEnd"/>
      <w:r>
        <w:t>, осаждение тяжелых металлов и удаление твердых остатков.</w:t>
      </w:r>
    </w:p>
    <w:p w:rsidR="00AB3AEE" w:rsidRDefault="00AB3AEE">
      <w:pPr>
        <w:pStyle w:val="EcoNormal"/>
        <w:jc w:val="both"/>
      </w:pPr>
    </w:p>
    <w:p w:rsidR="00AB3AEE" w:rsidRDefault="00AB3AEE">
      <w:pPr>
        <w:pStyle w:val="EcoNormal"/>
        <w:jc w:val="right"/>
      </w:pPr>
      <w:r>
        <w:t>Таблица 3</w:t>
      </w:r>
    </w:p>
    <w:p w:rsidR="00AB3AEE" w:rsidRDefault="00AB3AEE">
      <w:pPr>
        <w:pStyle w:val="EcoNormal"/>
        <w:jc w:val="both"/>
      </w:pPr>
    </w:p>
    <w:p w:rsidR="00AB3AEE" w:rsidRDefault="00AB3AEE">
      <w:pPr>
        <w:pStyle w:val="EcoNormal"/>
        <w:jc w:val="center"/>
      </w:pPr>
      <w:r>
        <w:t>Наилучшие доступные технологии по обработке и контролю</w:t>
      </w:r>
    </w:p>
    <w:p w:rsidR="00AB3AEE" w:rsidRDefault="00AB3AEE">
      <w:pPr>
        <w:pStyle w:val="EcoNormal"/>
        <w:jc w:val="center"/>
      </w:pPr>
      <w:r>
        <w:t>сточных вод</w:t>
      </w:r>
    </w:p>
    <w:p w:rsidR="00AB3AEE" w:rsidRDefault="00AB3AEE">
      <w:pPr>
        <w:pStyle w:val="EcoNormal"/>
        <w:jc w:val="both"/>
      </w:pPr>
    </w:p>
    <w:tbl>
      <w:tblPr>
        <w:tblW w:w="0" w:type="auto"/>
        <w:tblInd w:w="-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700"/>
        <w:gridCol w:w="1800"/>
        <w:gridCol w:w="1200"/>
        <w:gridCol w:w="1080"/>
        <w:gridCol w:w="1080"/>
        <w:gridCol w:w="2040"/>
        <w:gridCol w:w="1800"/>
        <w:gridCol w:w="1920"/>
      </w:tblGrid>
      <w:tr w:rsidR="00AB3AEE">
        <w:tc>
          <w:tcPr>
            <w:tcW w:w="2700" w:type="dxa"/>
            <w:vMerge w:val="restart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lastRenderedPageBreak/>
              <w:t>Технология</w:t>
            </w:r>
          </w:p>
        </w:tc>
        <w:tc>
          <w:tcPr>
            <w:tcW w:w="1800" w:type="dxa"/>
            <w:vMerge w:val="restart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Экологический эффект</w:t>
            </w:r>
          </w:p>
        </w:tc>
        <w:tc>
          <w:tcPr>
            <w:tcW w:w="2280" w:type="dxa"/>
            <w:gridSpan w:val="2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Предприятие</w:t>
            </w:r>
          </w:p>
        </w:tc>
        <w:tc>
          <w:tcPr>
            <w:tcW w:w="1080" w:type="dxa"/>
            <w:vMerge w:val="restart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Эксплуатационный опыт</w:t>
            </w:r>
          </w:p>
        </w:tc>
        <w:tc>
          <w:tcPr>
            <w:tcW w:w="2040" w:type="dxa"/>
            <w:vMerge w:val="restart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Эффект для других сред</w:t>
            </w:r>
          </w:p>
        </w:tc>
        <w:tc>
          <w:tcPr>
            <w:tcW w:w="1800" w:type="dxa"/>
            <w:vMerge w:val="restart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Экономический эффект</w:t>
            </w:r>
          </w:p>
        </w:tc>
        <w:tc>
          <w:tcPr>
            <w:tcW w:w="192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B3AEE" w:rsidRDefault="00AB3AEE">
            <w:pPr>
              <w:pStyle w:val="EcoNormal"/>
              <w:jc w:val="center"/>
            </w:pPr>
            <w:r>
              <w:t>Примечание</w:t>
            </w:r>
          </w:p>
        </w:tc>
      </w:tr>
      <w:tr w:rsidR="00AB3AEE">
        <w:tc>
          <w:tcPr>
            <w:tcW w:w="2700" w:type="dxa"/>
            <w:vMerge/>
            <w:tcBorders>
              <w:left w:val="single" w:sz="4" w:space="0" w:color="auto"/>
              <w:right w:val="nil"/>
            </w:tcBorders>
          </w:tcPr>
          <w:p w:rsidR="00AB3AEE" w:rsidRDefault="00AB3AEE"/>
        </w:tc>
        <w:tc>
          <w:tcPr>
            <w:tcW w:w="1800" w:type="dxa"/>
            <w:vMerge/>
            <w:tcBorders>
              <w:left w:val="single" w:sz="4" w:space="0" w:color="auto"/>
              <w:right w:val="nil"/>
            </w:tcBorders>
          </w:tcPr>
          <w:p w:rsidR="00AB3AEE" w:rsidRDefault="00AB3AEE"/>
        </w:tc>
        <w:tc>
          <w:tcPr>
            <w:tcW w:w="12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Проектируемое</w:t>
            </w:r>
          </w:p>
        </w:tc>
        <w:tc>
          <w:tcPr>
            <w:tcW w:w="108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Пригодное к модернизации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nil"/>
            </w:tcBorders>
          </w:tcPr>
          <w:p w:rsidR="00AB3AEE" w:rsidRDefault="00AB3AEE"/>
        </w:tc>
        <w:tc>
          <w:tcPr>
            <w:tcW w:w="2040" w:type="dxa"/>
            <w:vMerge/>
            <w:tcBorders>
              <w:left w:val="single" w:sz="4" w:space="0" w:color="auto"/>
              <w:right w:val="nil"/>
            </w:tcBorders>
          </w:tcPr>
          <w:p w:rsidR="00AB3AEE" w:rsidRDefault="00AB3AEE"/>
        </w:tc>
        <w:tc>
          <w:tcPr>
            <w:tcW w:w="1800" w:type="dxa"/>
            <w:vMerge/>
            <w:tcBorders>
              <w:left w:val="single" w:sz="4" w:space="0" w:color="auto"/>
              <w:right w:val="nil"/>
            </w:tcBorders>
          </w:tcPr>
          <w:p w:rsidR="00AB3AEE" w:rsidRDefault="00AB3AEE"/>
        </w:tc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B3AEE" w:rsidRDefault="00AB3AEE"/>
        </w:tc>
      </w:tr>
      <w:tr w:rsidR="00AB3AEE">
        <w:tc>
          <w:tcPr>
            <w:tcW w:w="13620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AB3AEE" w:rsidRDefault="00AB3AEE">
            <w:pPr>
              <w:pStyle w:val="EcoNormal"/>
              <w:jc w:val="center"/>
            </w:pPr>
            <w:r>
              <w:t>Мокрые скрубберы</w:t>
            </w:r>
          </w:p>
        </w:tc>
      </w:tr>
      <w:tr w:rsidR="00AB3AEE">
        <w:tc>
          <w:tcPr>
            <w:tcW w:w="27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 xml:space="preserve">Обработка сточных вод </w:t>
            </w:r>
            <w:proofErr w:type="spellStart"/>
            <w:r>
              <w:t>флоккуляцией</w:t>
            </w:r>
            <w:proofErr w:type="spellEnd"/>
            <w:r>
              <w:t>, седиментацией и нейтрализацией</w:t>
            </w:r>
          </w:p>
        </w:tc>
        <w:tc>
          <w:tcPr>
            <w:tcW w:w="18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Удаление фторидов, тяжелых металлов, сокращение химического потребления кислорода и частиц</w:t>
            </w:r>
          </w:p>
        </w:tc>
        <w:tc>
          <w:tcPr>
            <w:tcW w:w="12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Осуществимо</w:t>
            </w:r>
          </w:p>
        </w:tc>
        <w:tc>
          <w:tcPr>
            <w:tcW w:w="108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Осуществимо</w:t>
            </w:r>
          </w:p>
        </w:tc>
        <w:tc>
          <w:tcPr>
            <w:tcW w:w="108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Высокий</w:t>
            </w:r>
          </w:p>
        </w:tc>
        <w:tc>
          <w:tcPr>
            <w:tcW w:w="204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Добавление отстоя к углю, летучей золе, гипсу из скруббера или повторное использование в качестве заполнителя в горнодобывающей промышленности</w:t>
            </w:r>
          </w:p>
        </w:tc>
        <w:tc>
          <w:tcPr>
            <w:tcW w:w="18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Специфика предприятия</w:t>
            </w:r>
          </w:p>
        </w:tc>
        <w:tc>
          <w:tcPr>
            <w:tcW w:w="1920" w:type="dxa"/>
            <w:tcBorders>
              <w:left w:val="single" w:sz="4" w:space="0" w:color="auto"/>
              <w:right w:val="single" w:sz="4" w:space="0" w:color="auto"/>
            </w:tcBorders>
          </w:tcPr>
          <w:p w:rsidR="00AB3AEE" w:rsidRDefault="00AB3AEE">
            <w:pPr>
              <w:pStyle w:val="EcoNormal"/>
            </w:pPr>
            <w:r>
              <w:t>Добавление отстоя к углю и гипсу из скруббера следует оценивать в каждом конкретном случае</w:t>
            </w:r>
          </w:p>
        </w:tc>
      </w:tr>
      <w:tr w:rsidR="00AB3AEE">
        <w:tc>
          <w:tcPr>
            <w:tcW w:w="27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Эксплуатация с замкнутым циклом</w:t>
            </w:r>
          </w:p>
        </w:tc>
        <w:tc>
          <w:tcPr>
            <w:tcW w:w="18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Сокращение сбросов сточных вод</w:t>
            </w:r>
          </w:p>
        </w:tc>
        <w:tc>
          <w:tcPr>
            <w:tcW w:w="12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Осуществимо</w:t>
            </w:r>
          </w:p>
        </w:tc>
        <w:tc>
          <w:tcPr>
            <w:tcW w:w="108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Осуществимо</w:t>
            </w:r>
          </w:p>
        </w:tc>
        <w:tc>
          <w:tcPr>
            <w:tcW w:w="108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Высокий</w:t>
            </w:r>
          </w:p>
        </w:tc>
        <w:tc>
          <w:tcPr>
            <w:tcW w:w="204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</w:p>
        </w:tc>
        <w:tc>
          <w:tcPr>
            <w:tcW w:w="18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Специфика предприятия</w:t>
            </w:r>
          </w:p>
        </w:tc>
        <w:tc>
          <w:tcPr>
            <w:tcW w:w="1920" w:type="dxa"/>
            <w:tcBorders>
              <w:left w:val="single" w:sz="4" w:space="0" w:color="auto"/>
              <w:right w:val="single" w:sz="4" w:space="0" w:color="auto"/>
            </w:tcBorders>
          </w:tcPr>
          <w:p w:rsidR="00AB3AEE" w:rsidRDefault="00AB3AEE">
            <w:pPr>
              <w:pStyle w:val="EcoNormal"/>
            </w:pPr>
          </w:p>
        </w:tc>
      </w:tr>
      <w:tr w:rsidR="00AB3AEE">
        <w:tc>
          <w:tcPr>
            <w:tcW w:w="27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Смешивание сточных вод с угольной золой</w:t>
            </w:r>
          </w:p>
        </w:tc>
        <w:tc>
          <w:tcPr>
            <w:tcW w:w="18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Предотвращение сброса сточных вод</w:t>
            </w:r>
          </w:p>
        </w:tc>
        <w:tc>
          <w:tcPr>
            <w:tcW w:w="12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Осуществимо</w:t>
            </w:r>
          </w:p>
        </w:tc>
        <w:tc>
          <w:tcPr>
            <w:tcW w:w="108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Осуществимо</w:t>
            </w:r>
          </w:p>
        </w:tc>
        <w:tc>
          <w:tcPr>
            <w:tcW w:w="108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Высокий</w:t>
            </w:r>
          </w:p>
        </w:tc>
        <w:tc>
          <w:tcPr>
            <w:tcW w:w="204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Стабилизированный материал может быть использован в качестве заполнителя в открытых шахтах</w:t>
            </w:r>
          </w:p>
        </w:tc>
        <w:tc>
          <w:tcPr>
            <w:tcW w:w="18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Специфика предприятия</w:t>
            </w:r>
          </w:p>
        </w:tc>
        <w:tc>
          <w:tcPr>
            <w:tcW w:w="1920" w:type="dxa"/>
            <w:tcBorders>
              <w:left w:val="single" w:sz="4" w:space="0" w:color="auto"/>
              <w:right w:val="single" w:sz="4" w:space="0" w:color="auto"/>
            </w:tcBorders>
          </w:tcPr>
          <w:p w:rsidR="00AB3AEE" w:rsidRDefault="00AB3AEE">
            <w:pPr>
              <w:pStyle w:val="EcoNormal"/>
            </w:pPr>
          </w:p>
        </w:tc>
      </w:tr>
      <w:tr w:rsidR="00AB3AEE">
        <w:tc>
          <w:tcPr>
            <w:tcW w:w="13620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AB3AEE" w:rsidRDefault="00AB3AEE">
            <w:pPr>
              <w:pStyle w:val="EcoNormal"/>
              <w:jc w:val="center"/>
            </w:pPr>
            <w:r>
              <w:t>Смыв осадков струей жидкости и транспортирование</w:t>
            </w:r>
          </w:p>
        </w:tc>
      </w:tr>
      <w:tr w:rsidR="00AB3AEE">
        <w:tc>
          <w:tcPr>
            <w:tcW w:w="27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 xml:space="preserve">Замкнутая циркуляция воды посредством </w:t>
            </w:r>
            <w:r>
              <w:lastRenderedPageBreak/>
              <w:t>фильтрации и седиментации</w:t>
            </w:r>
          </w:p>
        </w:tc>
        <w:tc>
          <w:tcPr>
            <w:tcW w:w="18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lastRenderedPageBreak/>
              <w:t xml:space="preserve">Сокращение сброса сточных </w:t>
            </w:r>
            <w:r>
              <w:lastRenderedPageBreak/>
              <w:t>вод</w:t>
            </w:r>
          </w:p>
        </w:tc>
        <w:tc>
          <w:tcPr>
            <w:tcW w:w="12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lastRenderedPageBreak/>
              <w:t>Осуществимо</w:t>
            </w:r>
          </w:p>
        </w:tc>
        <w:tc>
          <w:tcPr>
            <w:tcW w:w="108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Осуществимо</w:t>
            </w:r>
          </w:p>
        </w:tc>
        <w:tc>
          <w:tcPr>
            <w:tcW w:w="108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Высокий</w:t>
            </w:r>
          </w:p>
        </w:tc>
        <w:tc>
          <w:tcPr>
            <w:tcW w:w="204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</w:p>
        </w:tc>
        <w:tc>
          <w:tcPr>
            <w:tcW w:w="18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Специфика предприятия</w:t>
            </w:r>
          </w:p>
        </w:tc>
        <w:tc>
          <w:tcPr>
            <w:tcW w:w="1920" w:type="dxa"/>
            <w:tcBorders>
              <w:left w:val="single" w:sz="4" w:space="0" w:color="auto"/>
              <w:right w:val="single" w:sz="4" w:space="0" w:color="auto"/>
            </w:tcBorders>
          </w:tcPr>
          <w:p w:rsidR="00AB3AEE" w:rsidRDefault="00AB3AEE">
            <w:pPr>
              <w:pStyle w:val="EcoNormal"/>
            </w:pPr>
          </w:p>
        </w:tc>
      </w:tr>
      <w:tr w:rsidR="00AB3AEE">
        <w:tc>
          <w:tcPr>
            <w:tcW w:w="13620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AB3AEE" w:rsidRDefault="00AB3AEE">
            <w:pPr>
              <w:pStyle w:val="EcoNormal"/>
              <w:jc w:val="center"/>
            </w:pPr>
            <w:r>
              <w:t>Стекание ливневых стоков</w:t>
            </w:r>
          </w:p>
        </w:tc>
      </w:tr>
      <w:tr w:rsidR="00AB3AEE">
        <w:tc>
          <w:tcPr>
            <w:tcW w:w="27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Седиментация или химическая обработка и периодическое повторное использование</w:t>
            </w:r>
          </w:p>
        </w:tc>
        <w:tc>
          <w:tcPr>
            <w:tcW w:w="18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  <w:r>
              <w:t>Сокращение сброса сточных вод</w:t>
            </w:r>
          </w:p>
        </w:tc>
        <w:tc>
          <w:tcPr>
            <w:tcW w:w="12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Осуществимо</w:t>
            </w:r>
          </w:p>
        </w:tc>
        <w:tc>
          <w:tcPr>
            <w:tcW w:w="108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Осуществимо</w:t>
            </w:r>
          </w:p>
        </w:tc>
        <w:tc>
          <w:tcPr>
            <w:tcW w:w="108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Высокий</w:t>
            </w:r>
          </w:p>
        </w:tc>
        <w:tc>
          <w:tcPr>
            <w:tcW w:w="204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</w:pPr>
          </w:p>
        </w:tc>
        <w:tc>
          <w:tcPr>
            <w:tcW w:w="1800" w:type="dxa"/>
            <w:tcBorders>
              <w:left w:val="single" w:sz="4" w:space="0" w:color="auto"/>
              <w:right w:val="nil"/>
            </w:tcBorders>
          </w:tcPr>
          <w:p w:rsidR="00AB3AEE" w:rsidRDefault="00AB3AEE">
            <w:pPr>
              <w:pStyle w:val="EcoNormal"/>
              <w:jc w:val="center"/>
            </w:pPr>
            <w:r>
              <w:t>Специфика предприятия</w:t>
            </w:r>
          </w:p>
        </w:tc>
        <w:tc>
          <w:tcPr>
            <w:tcW w:w="1920" w:type="dxa"/>
            <w:tcBorders>
              <w:left w:val="single" w:sz="4" w:space="0" w:color="auto"/>
              <w:right w:val="single" w:sz="4" w:space="0" w:color="auto"/>
            </w:tcBorders>
          </w:tcPr>
          <w:p w:rsidR="00AB3AEE" w:rsidRDefault="00AB3AEE">
            <w:pPr>
              <w:pStyle w:val="EcoNormal"/>
            </w:pPr>
          </w:p>
        </w:tc>
      </w:tr>
    </w:tbl>
    <w:p w:rsidR="00AB3AEE" w:rsidRDefault="00AB3AEE">
      <w:pPr>
        <w:pStyle w:val="EcoNormal"/>
        <w:jc w:val="both"/>
      </w:pPr>
    </w:p>
    <w:p w:rsidR="00AB3AEE" w:rsidRDefault="00AB3AEE">
      <w:pPr>
        <w:pStyle w:val="EcoNormal"/>
        <w:jc w:val="both"/>
      </w:pPr>
    </w:p>
    <w:p w:rsidR="00AB3AEE" w:rsidRDefault="00AB3AEE">
      <w:pPr>
        <w:pStyle w:val="EcoNormal"/>
        <w:jc w:val="both"/>
      </w:pPr>
    </w:p>
    <w:p w:rsidR="00AB3AEE" w:rsidRDefault="00AB3AEE">
      <w:pPr>
        <w:pStyle w:val="EcoNormal"/>
        <w:jc w:val="both"/>
      </w:pPr>
    </w:p>
    <w:p w:rsidR="00AB3AEE" w:rsidRDefault="00AB3AEE">
      <w:pPr>
        <w:pStyle w:val="EcoNormal"/>
        <w:jc w:val="both"/>
      </w:pPr>
    </w:p>
    <w:p w:rsidR="00AB3AEE" w:rsidRDefault="00AB3AEE">
      <w:pPr>
        <w:pStyle w:val="EcoNormal"/>
        <w:jc w:val="center"/>
        <w:outlineLvl w:val="0"/>
      </w:pPr>
      <w:r>
        <w:t>БИБЛИОГРАФИЯ</w:t>
      </w:r>
    </w:p>
    <w:p w:rsidR="00AB3AEE" w:rsidRDefault="00AB3AEE">
      <w:pPr>
        <w:pStyle w:val="EcoNormal"/>
      </w:pPr>
    </w:p>
    <w:p w:rsidR="00AB3AEE" w:rsidRDefault="00AB3AEE">
      <w:pPr>
        <w:pStyle w:val="EcoNonformat"/>
        <w:jc w:val="both"/>
      </w:pPr>
      <w:bookmarkStart w:id="3" w:name="P301"/>
      <w:bookmarkEnd w:id="3"/>
      <w:r>
        <w:t xml:space="preserve">    [1]                       Справочник   ЕС   по   наилучшим    доступным</w:t>
      </w:r>
    </w:p>
    <w:p w:rsidR="00AB3AEE" w:rsidRDefault="00AB3AEE">
      <w:pPr>
        <w:pStyle w:val="EcoNonformat"/>
        <w:jc w:val="both"/>
      </w:pPr>
      <w:r>
        <w:t xml:space="preserve">                              технологиям       "Европейская      комиссия.</w:t>
      </w:r>
    </w:p>
    <w:p w:rsidR="00AB3AEE" w:rsidRDefault="00AB3AEE">
      <w:pPr>
        <w:pStyle w:val="EcoNonformat"/>
        <w:jc w:val="both"/>
      </w:pPr>
      <w:r>
        <w:t xml:space="preserve">                              Комплексное   предупреждение    и    контроль</w:t>
      </w:r>
    </w:p>
    <w:p w:rsidR="00AB3AEE" w:rsidRDefault="00AB3AEE">
      <w:pPr>
        <w:pStyle w:val="EcoNonformat"/>
        <w:jc w:val="both"/>
      </w:pPr>
      <w:r>
        <w:t xml:space="preserve">                              загрязнений.  Сжигание   </w:t>
      </w:r>
      <w:proofErr w:type="gramStart"/>
      <w:r>
        <w:t>топлива  на</w:t>
      </w:r>
      <w:proofErr w:type="gramEnd"/>
      <w:r>
        <w:t xml:space="preserve">  крупных</w:t>
      </w:r>
    </w:p>
    <w:p w:rsidR="00AB3AEE" w:rsidRDefault="00AB3AEE">
      <w:pPr>
        <w:pStyle w:val="EcoNonformat"/>
        <w:jc w:val="both"/>
      </w:pPr>
      <w:r>
        <w:t xml:space="preserve">                              </w:t>
      </w:r>
      <w:proofErr w:type="gramStart"/>
      <w:r>
        <w:t>промышленных  предприятиях</w:t>
      </w:r>
      <w:proofErr w:type="gramEnd"/>
      <w:r>
        <w:t xml:space="preserve">  в  энергетических</w:t>
      </w:r>
    </w:p>
    <w:p w:rsidR="00AB3AEE" w:rsidRPr="00AB3AEE" w:rsidRDefault="00AB3AEE">
      <w:pPr>
        <w:pStyle w:val="EcoNonformat"/>
        <w:jc w:val="both"/>
        <w:rPr>
          <w:lang w:val="en-US"/>
        </w:rPr>
      </w:pPr>
      <w:r>
        <w:t xml:space="preserve">                              целях. Июль</w:t>
      </w:r>
      <w:r w:rsidRPr="00AB3AEE">
        <w:rPr>
          <w:lang w:val="en-US"/>
        </w:rPr>
        <w:t xml:space="preserve"> 2006 </w:t>
      </w:r>
      <w:r>
        <w:t>г</w:t>
      </w:r>
      <w:r w:rsidRPr="00AB3AEE">
        <w:rPr>
          <w:lang w:val="en-US"/>
        </w:rPr>
        <w:t>."  ("</w:t>
      </w:r>
      <w:proofErr w:type="gramStart"/>
      <w:r w:rsidRPr="00AB3AEE">
        <w:rPr>
          <w:lang w:val="en-US"/>
        </w:rPr>
        <w:t>European  Commission</w:t>
      </w:r>
      <w:proofErr w:type="gramEnd"/>
      <w:r w:rsidRPr="00AB3AEE">
        <w:rPr>
          <w:lang w:val="en-US"/>
        </w:rPr>
        <w:t>.</w:t>
      </w:r>
    </w:p>
    <w:p w:rsidR="00AB3AEE" w:rsidRPr="00AB3AEE" w:rsidRDefault="00AB3AEE">
      <w:pPr>
        <w:pStyle w:val="EcoNonformat"/>
        <w:jc w:val="both"/>
        <w:rPr>
          <w:lang w:val="en-US"/>
        </w:rPr>
      </w:pPr>
      <w:r w:rsidRPr="00AB3AEE">
        <w:rPr>
          <w:lang w:val="en-US"/>
        </w:rPr>
        <w:t xml:space="preserve">                              Integrated Pollution Prevention </w:t>
      </w:r>
      <w:proofErr w:type="gramStart"/>
      <w:r w:rsidRPr="00AB3AEE">
        <w:rPr>
          <w:lang w:val="en-US"/>
        </w:rPr>
        <w:t>and  Control</w:t>
      </w:r>
      <w:proofErr w:type="gramEnd"/>
      <w:r w:rsidRPr="00AB3AEE">
        <w:rPr>
          <w:lang w:val="en-US"/>
        </w:rPr>
        <w:t>.</w:t>
      </w:r>
    </w:p>
    <w:p w:rsidR="00AB3AEE" w:rsidRPr="00AB3AEE" w:rsidRDefault="00AB3AEE">
      <w:pPr>
        <w:pStyle w:val="EcoNonformat"/>
        <w:jc w:val="both"/>
        <w:rPr>
          <w:lang w:val="en-US"/>
        </w:rPr>
      </w:pPr>
      <w:r w:rsidRPr="00AB3AEE">
        <w:rPr>
          <w:lang w:val="en-US"/>
        </w:rPr>
        <w:t xml:space="preserve">                              Reference   Document   on   Best    Available</w:t>
      </w:r>
    </w:p>
    <w:p w:rsidR="00AB3AEE" w:rsidRDefault="00AB3AEE">
      <w:pPr>
        <w:pStyle w:val="EcoNonformat"/>
        <w:jc w:val="both"/>
      </w:pPr>
      <w:r w:rsidRPr="00AB3AEE">
        <w:rPr>
          <w:lang w:val="en-US"/>
        </w:rPr>
        <w:t xml:space="preserve">                              Techniques for </w:t>
      </w:r>
      <w:proofErr w:type="gramStart"/>
      <w:r w:rsidRPr="00AB3AEE">
        <w:rPr>
          <w:lang w:val="en-US"/>
        </w:rPr>
        <w:t>Large  Combustion</w:t>
      </w:r>
      <w:proofErr w:type="gramEnd"/>
      <w:r w:rsidRPr="00AB3AEE">
        <w:rPr>
          <w:lang w:val="en-US"/>
        </w:rPr>
        <w:t xml:space="preserve"> Plants. </w:t>
      </w:r>
      <w:proofErr w:type="spellStart"/>
      <w:r>
        <w:t>July</w:t>
      </w:r>
      <w:proofErr w:type="spellEnd"/>
    </w:p>
    <w:p w:rsidR="00AB3AEE" w:rsidRDefault="00AB3AEE">
      <w:pPr>
        <w:pStyle w:val="EcoNonformat"/>
        <w:jc w:val="both"/>
      </w:pPr>
      <w:r>
        <w:t xml:space="preserve">                              2006")</w:t>
      </w:r>
    </w:p>
    <w:p w:rsidR="00AB3AEE" w:rsidRDefault="00AB3AEE">
      <w:pPr>
        <w:pStyle w:val="EcoNonformat"/>
        <w:jc w:val="both"/>
      </w:pPr>
      <w:bookmarkStart w:id="4" w:name="P311"/>
      <w:bookmarkEnd w:id="4"/>
      <w:r>
        <w:t xml:space="preserve">    [2</w:t>
      </w:r>
      <w:proofErr w:type="gramStart"/>
      <w:r>
        <w:t>]  Директива</w:t>
      </w:r>
      <w:proofErr w:type="gramEnd"/>
      <w:r>
        <w:t xml:space="preserve"> 2008/1/ЕС  Директива Европейского парламента и Совета ЕС</w:t>
      </w:r>
    </w:p>
    <w:p w:rsidR="00AB3AEE" w:rsidRDefault="00AB3AEE">
      <w:pPr>
        <w:pStyle w:val="EcoNonformat"/>
        <w:jc w:val="both"/>
      </w:pPr>
      <w:r>
        <w:t xml:space="preserve">                              </w:t>
      </w:r>
      <w:proofErr w:type="gramStart"/>
      <w:r>
        <w:t>от  15</w:t>
      </w:r>
      <w:proofErr w:type="gramEnd"/>
      <w:r>
        <w:t xml:space="preserve">  января   2008   г.   "О   комплексном</w:t>
      </w:r>
    </w:p>
    <w:p w:rsidR="00AB3AEE" w:rsidRDefault="00AB3AEE">
      <w:pPr>
        <w:pStyle w:val="EcoNonformat"/>
        <w:jc w:val="both"/>
      </w:pPr>
      <w:r>
        <w:t xml:space="preserve">                              предупреждении   и   контроле    загрязнений"</w:t>
      </w:r>
    </w:p>
    <w:p w:rsidR="00AB3AEE" w:rsidRPr="00AB3AEE" w:rsidRDefault="00AB3AEE">
      <w:pPr>
        <w:pStyle w:val="EcoNonformat"/>
        <w:jc w:val="both"/>
        <w:rPr>
          <w:lang w:val="en-US"/>
        </w:rPr>
      </w:pPr>
      <w:r>
        <w:t xml:space="preserve">                              </w:t>
      </w:r>
      <w:r w:rsidRPr="00AB3AEE">
        <w:rPr>
          <w:lang w:val="en-US"/>
        </w:rPr>
        <w:t>(Directive    2008/1/</w:t>
      </w:r>
      <w:r>
        <w:t>ЕС</w:t>
      </w:r>
      <w:r w:rsidRPr="00AB3AEE">
        <w:rPr>
          <w:lang w:val="en-US"/>
        </w:rPr>
        <w:t xml:space="preserve">   of   the   European</w:t>
      </w:r>
    </w:p>
    <w:p w:rsidR="00AB3AEE" w:rsidRPr="00AB3AEE" w:rsidRDefault="00AB3AEE">
      <w:pPr>
        <w:pStyle w:val="EcoNonformat"/>
        <w:jc w:val="both"/>
        <w:rPr>
          <w:lang w:val="en-US"/>
        </w:rPr>
      </w:pPr>
      <w:r w:rsidRPr="00AB3AEE">
        <w:rPr>
          <w:lang w:val="en-US"/>
        </w:rPr>
        <w:t xml:space="preserve">                              </w:t>
      </w:r>
      <w:proofErr w:type="gramStart"/>
      <w:r w:rsidRPr="00AB3AEE">
        <w:rPr>
          <w:lang w:val="en-US"/>
        </w:rPr>
        <w:t>Parliament  and</w:t>
      </w:r>
      <w:proofErr w:type="gramEnd"/>
      <w:r w:rsidRPr="00AB3AEE">
        <w:rPr>
          <w:lang w:val="en-US"/>
        </w:rPr>
        <w:t xml:space="preserve">  of the Council of 15 January</w:t>
      </w:r>
    </w:p>
    <w:p w:rsidR="00AB3AEE" w:rsidRPr="00AB3AEE" w:rsidRDefault="00AB3AEE">
      <w:pPr>
        <w:pStyle w:val="EcoNonformat"/>
        <w:jc w:val="both"/>
        <w:rPr>
          <w:lang w:val="en-US"/>
        </w:rPr>
      </w:pPr>
      <w:r w:rsidRPr="00AB3AEE">
        <w:rPr>
          <w:lang w:val="en-US"/>
        </w:rPr>
        <w:t xml:space="preserve">                              2008    concerning    integrated    pollution</w:t>
      </w:r>
    </w:p>
    <w:p w:rsidR="00AB3AEE" w:rsidRPr="00AB3AEE" w:rsidRDefault="00AB3AEE">
      <w:pPr>
        <w:pStyle w:val="EcoNonformat"/>
        <w:jc w:val="both"/>
        <w:rPr>
          <w:lang w:val="en-US"/>
        </w:rPr>
      </w:pPr>
      <w:r w:rsidRPr="00AB3AEE">
        <w:rPr>
          <w:lang w:val="en-US"/>
        </w:rPr>
        <w:t xml:space="preserve">                              prevention and control)</w:t>
      </w:r>
    </w:p>
    <w:p w:rsidR="00AB3AEE" w:rsidRPr="00AB3AEE" w:rsidRDefault="00AB3AEE">
      <w:pPr>
        <w:pStyle w:val="EcoNormal"/>
        <w:rPr>
          <w:lang w:val="en-US"/>
        </w:rPr>
      </w:pPr>
    </w:p>
    <w:p w:rsidR="00AB3AEE" w:rsidRPr="00AB3AEE" w:rsidRDefault="00AB3AEE">
      <w:pPr>
        <w:pStyle w:val="EcoNormal"/>
        <w:jc w:val="both"/>
        <w:rPr>
          <w:lang w:val="en-US"/>
        </w:rPr>
      </w:pPr>
    </w:p>
    <w:p w:rsidR="00AB3AEE" w:rsidRPr="00AB3AEE" w:rsidRDefault="00AB3AE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  <w:lang w:val="en-US"/>
        </w:rPr>
      </w:pPr>
    </w:p>
    <w:p w:rsidR="00172365" w:rsidRPr="00AB3AEE" w:rsidRDefault="00172365">
      <w:pPr>
        <w:rPr>
          <w:lang w:val="en-US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AB3AE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AB3AE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AB3AE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AB3AE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