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05D4" w:rsidRPr="00FB05D4" w:rsidRDefault="00FB05D4" w:rsidP="00FB05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5D4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"ПОЛИГОН" ПОТРЕБИТЕЛЯМ ГОРОДСКОГО ОКРУГА ГОРОД КУМЕРТАУ РЕСПУБЛИКИ БАШКОРТОСТАН</w:t>
      </w: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от 19 сентября 2016 года N 114</w:t>
      </w: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"ПОЛИГОН" ПОТРЕБИТЕЛЯМ ГОРОДСКОГО ОКРУГА ГОРОД КУМЕРТАУ РЕСПУБЛИКИ БАШКОРТОСТАН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05D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Правительства Республики Башкортостан от 5 сентября 2013 года N 404 "Об утверждении</w:t>
      </w:r>
      <w:proofErr w:type="gramEnd"/>
      <w:r w:rsidRPr="00FB05D4">
        <w:rPr>
          <w:rFonts w:ascii="Times New Roman" w:hAnsi="Times New Roman" w:cs="Times New Roman"/>
          <w:sz w:val="24"/>
          <w:szCs w:val="24"/>
        </w:rPr>
        <w:t xml:space="preserve"> Положения о Государственном комитете Республики Башкортостан по тарифам" Государственный комитет Республики Башкортостан по тарифам постановляет: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общества с ограниченной ответственностью "Полигон" в сфере утилизации твердых бытовых отходов на 2017 - 2019 годы.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обществом с ограниченной ответственностью "Полигон" потребителям городского округа город Кумертау Республики Башкортостан, согласно приложению.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lastRenderedPageBreak/>
        <w:t>3. Тарифы, установленные в пункте 2 настоящего Постановления, действуют с 1 января 2017 г. по 31 декабря 2019 г.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5D4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ОБЩЕСТВОМ С ОГРАНИЧЕННОЙ ОТВЕТСТВЕННОСТЬЮ "ПОЛИГОН" ПОТРЕБИТЕЛЯМ ГОРОДСКОГО ОКРУГА ГОРОД КУМЕРТАУ РЕСПУБЛИКИ БАШКОРТОСТАН</w:t>
      </w:r>
    </w:p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И.о. председателя</w:t>
      </w: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С.Н.БУРДЮК</w:t>
      </w: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Приложение</w:t>
      </w: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FB05D4" w:rsidRPr="00FB05D4" w:rsidRDefault="00FB05D4" w:rsidP="00FB05D4">
      <w:pPr>
        <w:jc w:val="right"/>
        <w:rPr>
          <w:rFonts w:ascii="Times New Roman" w:hAnsi="Times New Roman" w:cs="Times New Roman"/>
          <w:sz w:val="24"/>
          <w:szCs w:val="24"/>
        </w:rPr>
      </w:pPr>
      <w:r w:rsidRPr="00FB05D4">
        <w:rPr>
          <w:rFonts w:ascii="Times New Roman" w:hAnsi="Times New Roman" w:cs="Times New Roman"/>
          <w:sz w:val="24"/>
          <w:szCs w:val="24"/>
        </w:rPr>
        <w:t>от 19 сентября 2016 года N 114</w:t>
      </w:r>
    </w:p>
    <w:p w:rsidR="0080377D" w:rsidRPr="00FB05D4" w:rsidRDefault="0080377D" w:rsidP="00FB05D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82"/>
        <w:gridCol w:w="1427"/>
        <w:gridCol w:w="1305"/>
        <w:gridCol w:w="1427"/>
        <w:gridCol w:w="1305"/>
        <w:gridCol w:w="1427"/>
        <w:gridCol w:w="1320"/>
      </w:tblGrid>
      <w:tr w:rsidR="00FB05D4" w:rsidRPr="00FB05D4" w:rsidTr="00FB05D4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FB05D4" w:rsidRPr="00FB05D4" w:rsidTr="00FB05D4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2017 года по 30 июня 2017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2017 года по 31 декабря 2017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2018 года по 30 июня 2018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2018 года по 31 декабря 2018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2019 года по 30 июня 2019 года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2019 года по 31 декабря 2019 года </w:t>
            </w:r>
          </w:p>
        </w:tc>
      </w:tr>
      <w:tr w:rsidR="00FB05D4" w:rsidRPr="00FB05D4" w:rsidTr="00FB05D4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</w:tr>
      <w:tr w:rsidR="00FB05D4" w:rsidRPr="00FB05D4" w:rsidTr="00FB05D4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категории потребителей </w:t>
            </w: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(НДС не предусмотрен)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37,71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44,22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44,22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45,24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45,24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46,19 </w:t>
            </w:r>
          </w:p>
        </w:tc>
      </w:tr>
      <w:tr w:rsidR="00FB05D4" w:rsidRPr="00FB05D4" w:rsidTr="00FB05D4">
        <w:trPr>
          <w:tblCellSpacing w:w="15" w:type="dxa"/>
        </w:trPr>
        <w:tc>
          <w:tcPr>
            <w:tcW w:w="1090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05D4" w:rsidRPr="00FB05D4" w:rsidRDefault="00FB05D4" w:rsidP="00FB05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&lt;*&gt; Выделяется в целях реализации пункта 2 статьи 346.11 </w:t>
            </w:r>
            <w:r w:rsidRPr="00FB05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Налогового кодекса Российской Федерации </w:t>
            </w:r>
          </w:p>
        </w:tc>
      </w:tr>
    </w:tbl>
    <w:p w:rsidR="00FB05D4" w:rsidRPr="00FB05D4" w:rsidRDefault="00FB05D4" w:rsidP="00FB05D4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a891a89ad3947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